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CCC7" w14:textId="77777777" w:rsidR="00D67EDA" w:rsidRDefault="00D67EDA" w:rsidP="007D4EF6">
      <w:pPr>
        <w:pBdr>
          <w:top w:val="thinThickSmallGap" w:sz="18" w:space="1" w:color="auto"/>
        </w:pBdr>
        <w:shd w:val="clear" w:color="auto" w:fill="EAEAEA"/>
        <w:spacing w:after="0" w:line="240" w:lineRule="auto"/>
        <w:jc w:val="center"/>
        <w:rPr>
          <w:rFonts w:asciiTheme="minorBidi" w:hAnsiTheme="minorBidi"/>
          <w:b/>
          <w:bCs/>
          <w:sz w:val="28"/>
          <w:szCs w:val="28"/>
          <w:rtl/>
          <w:lang w:bidi="ar-IQ"/>
        </w:rPr>
      </w:pPr>
      <w:r w:rsidRPr="00D67EDA">
        <w:rPr>
          <w:rFonts w:asciiTheme="minorBidi" w:hAnsiTheme="minorBidi"/>
          <w:b/>
          <w:bCs/>
          <w:sz w:val="28"/>
          <w:szCs w:val="28"/>
          <w:rtl/>
          <w:lang w:bidi="ar-IQ"/>
        </w:rPr>
        <w:t xml:space="preserve">تطوير قانون البينات الأردني في مواجهة التحديات الرقمية </w:t>
      </w:r>
    </w:p>
    <w:p w14:paraId="08C415AC" w14:textId="7B7E007D" w:rsidR="00626BE7" w:rsidRPr="00F53BF7" w:rsidRDefault="00993371" w:rsidP="007D4EF6">
      <w:pPr>
        <w:pBdr>
          <w:top w:val="thinThickSmallGap" w:sz="18" w:space="1" w:color="auto"/>
        </w:pBdr>
        <w:shd w:val="clear" w:color="auto" w:fill="EAEAEA"/>
        <w:spacing w:after="0" w:line="240" w:lineRule="auto"/>
        <w:jc w:val="center"/>
        <w:rPr>
          <w:rFonts w:asciiTheme="minorBidi" w:hAnsiTheme="minorBidi" w:cstheme="minorBidi"/>
          <w:b/>
          <w:bCs/>
          <w:sz w:val="28"/>
          <w:szCs w:val="28"/>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BE5BACA" wp14:editId="619D2C34">
                <wp:simplePos x="0" y="0"/>
                <wp:positionH relativeFrom="margin">
                  <wp:align>center</wp:align>
                </wp:positionH>
                <wp:positionV relativeFrom="paragraph">
                  <wp:posOffset>190005</wp:posOffset>
                </wp:positionV>
                <wp:extent cx="3387090" cy="304800"/>
                <wp:effectExtent l="0" t="0" r="22860" b="19050"/>
                <wp:wrapNone/>
                <wp:docPr id="96573771" name="Rectangle 2"/>
                <wp:cNvGraphicFramePr/>
                <a:graphic xmlns:a="http://schemas.openxmlformats.org/drawingml/2006/main">
                  <a:graphicData uri="http://schemas.microsoft.com/office/word/2010/wordprocessingShape">
                    <wps:wsp>
                      <wps:cNvSpPr/>
                      <wps:spPr>
                        <a:xfrm>
                          <a:off x="0" y="0"/>
                          <a:ext cx="3387090" cy="304800"/>
                        </a:xfrm>
                        <a:prstGeom prst="rect">
                          <a:avLst/>
                        </a:prstGeom>
                        <a:noFill/>
                        <a:ln w="9525" cap="flat" cmpd="sng" algn="ctr">
                          <a:solidFill>
                            <a:sysClr val="windowText" lastClr="000000"/>
                          </a:solidFill>
                          <a:prstDash val="solid"/>
                          <a:round/>
                          <a:headEnd type="none" w="med" len="med"/>
                          <a:tailEnd type="none" w="med" len="med"/>
                        </a:ln>
                        <a:effectLst/>
                      </wps:spPr>
                      <wps:txbx>
                        <w:txbxContent>
                          <w:p w14:paraId="0E7D6450" w14:textId="09A10E9E" w:rsidR="00993371" w:rsidRPr="00AA3C6D" w:rsidRDefault="00993371" w:rsidP="00993371">
                            <w:pPr>
                              <w:bidi w:val="0"/>
                              <w:jc w:val="center"/>
                              <w:rPr>
                                <w:b/>
                                <w:bCs/>
                                <w:sz w:val="28"/>
                                <w:szCs w:val="28"/>
                              </w:rPr>
                            </w:pPr>
                            <w:hyperlink r:id="rId8" w:history="1">
                              <w:r w:rsidRPr="00377AA6">
                                <w:rPr>
                                  <w:rStyle w:val="Hyperlink"/>
                                  <w:b/>
                                  <w:bCs/>
                                  <w:sz w:val="28"/>
                                  <w:szCs w:val="28"/>
                                </w:rPr>
                                <w:t>https://doi.org/10.23918/ilic10.</w:t>
                              </w:r>
                              <w:r w:rsidRPr="00377AA6">
                                <w:rPr>
                                  <w:rStyle w:val="Hyperlink"/>
                                  <w:b/>
                                  <w:bCs/>
                                  <w:sz w:val="28"/>
                                  <w:szCs w:val="28"/>
                                </w:rPr>
                                <w:t>33</w:t>
                              </w:r>
                            </w:hyperlink>
                            <w:r w:rsidRPr="00AA3C6D">
                              <w:rPr>
                                <w:b/>
                                <w:bCs/>
                                <w:sz w:val="28"/>
                                <w:szCs w:val="28"/>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5BACA" id="Rectangle 2" o:spid="_x0000_s1026" style="position:absolute;left:0;text-align:left;margin-left:0;margin-top:14.95pt;width:266.7pt;height:2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" filled="f" strokecolor="windowText">
                <v:stroke joinstyle="round"/>
                <v:textbox>
                  <w:txbxContent>
                    <w:p w14:paraId="0E7D6450" w14:textId="09A10E9E" w:rsidR="00993371" w:rsidRPr="00AA3C6D" w:rsidRDefault="00993371" w:rsidP="00993371">
                      <w:pPr>
                        <w:bidi w:val="0"/>
                        <w:jc w:val="center"/>
                        <w:rPr>
                          <w:b/>
                          <w:bCs/>
                          <w:sz w:val="28"/>
                          <w:szCs w:val="28"/>
                        </w:rPr>
                      </w:pPr>
                      <w:hyperlink r:id="rId9" w:history="1">
                        <w:r w:rsidRPr="00377AA6">
                          <w:rPr>
                            <w:rStyle w:val="Hyperlink"/>
                            <w:b/>
                            <w:bCs/>
                            <w:sz w:val="28"/>
                            <w:szCs w:val="28"/>
                          </w:rPr>
                          <w:t>https://doi.org/10.23918/ilic10.</w:t>
                        </w:r>
                        <w:r w:rsidRPr="00377AA6">
                          <w:rPr>
                            <w:rStyle w:val="Hyperlink"/>
                            <w:b/>
                            <w:bCs/>
                            <w:sz w:val="28"/>
                            <w:szCs w:val="28"/>
                          </w:rPr>
                          <w:t>33</w:t>
                        </w:r>
                      </w:hyperlink>
                      <w:r w:rsidRPr="00AA3C6D">
                        <w:rPr>
                          <w:b/>
                          <w:bCs/>
                          <w:sz w:val="28"/>
                          <w:szCs w:val="28"/>
                        </w:rPr>
                        <w:t xml:space="preserve"> </w:t>
                      </w:r>
                    </w:p>
                  </w:txbxContent>
                </v:textbox>
                <w10:wrap anchorx="margin"/>
              </v:rect>
            </w:pict>
          </mc:Fallback>
        </mc:AlternateContent>
      </w:r>
    </w:p>
    <w:p w14:paraId="01016721" w14:textId="0CC4A74E" w:rsidR="00626BE7" w:rsidRPr="004F5157" w:rsidRDefault="00626BE7" w:rsidP="007D4EF6">
      <w:pPr>
        <w:pBdr>
          <w:top w:val="thinThickSmallGap" w:sz="18" w:space="1" w:color="auto"/>
        </w:pBdr>
        <w:shd w:val="clear" w:color="auto" w:fill="EAEAEA"/>
        <w:spacing w:after="0" w:line="240" w:lineRule="auto"/>
        <w:jc w:val="center"/>
        <w:rPr>
          <w:rFonts w:cs="PT Bold Heading"/>
          <w:b/>
          <w:bCs/>
          <w:sz w:val="28"/>
          <w:szCs w:val="28"/>
          <w:rtl/>
        </w:rPr>
      </w:pPr>
    </w:p>
    <w:p w14:paraId="6D9A5BB3" w14:textId="77777777" w:rsidR="00FD53CE" w:rsidRDefault="00FD53CE" w:rsidP="007D4EF6">
      <w:pPr>
        <w:pBdr>
          <w:top w:val="thinThickSmallGap" w:sz="18" w:space="1" w:color="auto"/>
        </w:pBdr>
        <w:shd w:val="clear" w:color="auto" w:fill="EAEAEA"/>
        <w:spacing w:after="0" w:line="240" w:lineRule="auto"/>
        <w:jc w:val="center"/>
        <w:rPr>
          <w:rFonts w:asciiTheme="majorBidi" w:hAnsiTheme="majorBidi" w:cs="Times New Roman"/>
          <w:b/>
          <w:bCs/>
          <w:sz w:val="28"/>
          <w:szCs w:val="28"/>
          <w:rtl/>
          <w:lang w:bidi="ar-IQ"/>
        </w:rPr>
      </w:pPr>
    </w:p>
    <w:p w14:paraId="1C94761F" w14:textId="06843877" w:rsidR="00D67EDA" w:rsidRPr="00D67EDA" w:rsidRDefault="00D67EDA" w:rsidP="00D67EDA">
      <w:pPr>
        <w:pBdr>
          <w:top w:val="thinThickSmallGap" w:sz="18" w:space="1" w:color="auto"/>
        </w:pBdr>
        <w:shd w:val="clear" w:color="auto" w:fill="EAEAEA"/>
        <w:spacing w:after="0" w:line="240" w:lineRule="auto"/>
        <w:jc w:val="center"/>
        <w:rPr>
          <w:rFonts w:asciiTheme="minorBidi" w:hAnsiTheme="minorBidi" w:cstheme="minorBidi"/>
          <w:b/>
          <w:bCs/>
          <w:sz w:val="28"/>
          <w:szCs w:val="28"/>
          <w:rtl/>
          <w:lang w:bidi="ar-IQ"/>
        </w:rPr>
      </w:pPr>
      <w:r w:rsidRPr="00D67EDA">
        <w:rPr>
          <w:rFonts w:asciiTheme="minorBidi" w:hAnsiTheme="minorBidi" w:cstheme="minorBidi"/>
          <w:b/>
          <w:bCs/>
          <w:sz w:val="28"/>
          <w:szCs w:val="28"/>
          <w:rtl/>
          <w:lang w:bidi="ar-IQ"/>
        </w:rPr>
        <w:t>د. رنا محمد داوود المهيرات</w:t>
      </w:r>
    </w:p>
    <w:p w14:paraId="0D41057E" w14:textId="77777777" w:rsidR="00D67EDA" w:rsidRPr="00D67EDA" w:rsidRDefault="00D67EDA" w:rsidP="00D67EDA">
      <w:pPr>
        <w:pBdr>
          <w:top w:val="thinThickSmallGap" w:sz="18" w:space="1" w:color="auto"/>
        </w:pBdr>
        <w:shd w:val="clear" w:color="auto" w:fill="EAEAEA"/>
        <w:spacing w:after="0" w:line="240" w:lineRule="auto"/>
        <w:jc w:val="center"/>
        <w:rPr>
          <w:rFonts w:asciiTheme="minorBidi" w:hAnsiTheme="minorBidi" w:cstheme="minorBidi"/>
          <w:b/>
          <w:bCs/>
          <w:sz w:val="28"/>
          <w:szCs w:val="28"/>
          <w:rtl/>
          <w:lang w:bidi="ar-IQ"/>
        </w:rPr>
      </w:pPr>
      <w:r w:rsidRPr="00D67EDA">
        <w:rPr>
          <w:rFonts w:asciiTheme="minorBidi" w:hAnsiTheme="minorBidi" w:cstheme="minorBidi"/>
          <w:b/>
          <w:bCs/>
          <w:sz w:val="28"/>
          <w:szCs w:val="28"/>
          <w:rtl/>
          <w:lang w:bidi="ar-IQ"/>
        </w:rPr>
        <w:t>باحثة قانونية - المملكة الأردنية الهاشمية</w:t>
      </w:r>
    </w:p>
    <w:p w14:paraId="5C209712" w14:textId="0D9E5F93" w:rsidR="00D67EDA" w:rsidRDefault="00D67EDA" w:rsidP="00D67EDA">
      <w:pPr>
        <w:pBdr>
          <w:top w:val="thinThickSmallGap" w:sz="18" w:space="1" w:color="auto"/>
        </w:pBdr>
        <w:shd w:val="clear" w:color="auto" w:fill="EAEAEA"/>
        <w:bidi w:val="0"/>
        <w:spacing w:after="0" w:line="240" w:lineRule="auto"/>
        <w:jc w:val="center"/>
        <w:rPr>
          <w:rFonts w:asciiTheme="minorBidi" w:hAnsiTheme="minorBidi" w:cstheme="minorBidi"/>
          <w:b/>
          <w:bCs/>
          <w:sz w:val="28"/>
          <w:szCs w:val="28"/>
        </w:rPr>
      </w:pPr>
      <w:hyperlink r:id="rId10" w:history="1">
        <w:r w:rsidRPr="00C8481A">
          <w:rPr>
            <w:rStyle w:val="Hyperlink"/>
            <w:rFonts w:asciiTheme="minorBidi" w:hAnsiTheme="minorBidi" w:cstheme="minorBidi"/>
            <w:b/>
            <w:bCs/>
            <w:sz w:val="28"/>
            <w:szCs w:val="28"/>
          </w:rPr>
          <w:t>ranamhairat@yahoo.com</w:t>
        </w:r>
      </w:hyperlink>
      <w:r>
        <w:rPr>
          <w:rFonts w:asciiTheme="minorBidi" w:hAnsiTheme="minorBidi" w:cstheme="minorBidi"/>
          <w:b/>
          <w:bCs/>
          <w:sz w:val="28"/>
          <w:szCs w:val="28"/>
        </w:rPr>
        <w:t xml:space="preserve"> </w:t>
      </w:r>
    </w:p>
    <w:p w14:paraId="1B2B1E84" w14:textId="77777777" w:rsidR="00D67EDA" w:rsidRPr="00D67EDA" w:rsidRDefault="00D67EDA" w:rsidP="00580060">
      <w:pPr>
        <w:pBdr>
          <w:top w:val="thinThickSmallGap" w:sz="18" w:space="1" w:color="auto"/>
          <w:bottom w:val="thinThickSmallGap" w:sz="18" w:space="1" w:color="auto"/>
        </w:pBdr>
        <w:shd w:val="clear" w:color="auto" w:fill="EAEAEA"/>
        <w:bidi w:val="0"/>
        <w:spacing w:after="0" w:line="240" w:lineRule="auto"/>
        <w:jc w:val="center"/>
        <w:rPr>
          <w:rFonts w:asciiTheme="minorBidi" w:hAnsiTheme="minorBidi" w:cstheme="minorBidi"/>
          <w:b/>
          <w:bCs/>
          <w:sz w:val="26"/>
          <w:szCs w:val="26"/>
        </w:rPr>
      </w:pPr>
      <w:r w:rsidRPr="00D67EDA">
        <w:rPr>
          <w:rFonts w:asciiTheme="minorBidi" w:hAnsiTheme="minorBidi" w:cstheme="minorBidi"/>
          <w:b/>
          <w:bCs/>
          <w:sz w:val="26"/>
          <w:szCs w:val="26"/>
        </w:rPr>
        <w:t>Development of the Jordanian Evidence Law in the Face of Digital Challenges</w:t>
      </w:r>
    </w:p>
    <w:p w14:paraId="0297EFD0" w14:textId="77777777" w:rsidR="00D67EDA" w:rsidRPr="00D67EDA" w:rsidRDefault="00D67EDA" w:rsidP="00D67EDA">
      <w:pPr>
        <w:pBdr>
          <w:top w:val="thinThickSmallGap" w:sz="18" w:space="1" w:color="auto"/>
          <w:bottom w:val="thinThickSmallGap" w:sz="18" w:space="1" w:color="auto"/>
        </w:pBdr>
        <w:shd w:val="clear" w:color="auto" w:fill="EAEAEA"/>
        <w:bidi w:val="0"/>
        <w:spacing w:after="0" w:line="240" w:lineRule="auto"/>
        <w:jc w:val="center"/>
        <w:rPr>
          <w:rFonts w:asciiTheme="minorBidi" w:hAnsiTheme="minorBidi" w:cstheme="minorBidi"/>
          <w:b/>
          <w:bCs/>
          <w:sz w:val="28"/>
          <w:szCs w:val="28"/>
        </w:rPr>
      </w:pPr>
      <w:r w:rsidRPr="00D67EDA">
        <w:rPr>
          <w:rFonts w:asciiTheme="minorBidi" w:hAnsiTheme="minorBidi" w:cstheme="minorBidi"/>
          <w:b/>
          <w:bCs/>
          <w:sz w:val="28"/>
          <w:szCs w:val="28"/>
        </w:rPr>
        <w:t>Dr. Rana Mohammed Dawood Al-</w:t>
      </w:r>
      <w:proofErr w:type="spellStart"/>
      <w:r w:rsidRPr="00D67EDA">
        <w:rPr>
          <w:rFonts w:asciiTheme="minorBidi" w:hAnsiTheme="minorBidi" w:cstheme="minorBidi"/>
          <w:b/>
          <w:bCs/>
          <w:sz w:val="28"/>
          <w:szCs w:val="28"/>
        </w:rPr>
        <w:t>Mhairat</w:t>
      </w:r>
      <w:proofErr w:type="spellEnd"/>
    </w:p>
    <w:p w14:paraId="482590C4" w14:textId="2471D694" w:rsidR="00D67EDA" w:rsidRPr="00D67EDA" w:rsidRDefault="00D67EDA" w:rsidP="00D67EDA">
      <w:pPr>
        <w:pBdr>
          <w:top w:val="thinThickSmallGap" w:sz="18" w:space="1" w:color="auto"/>
          <w:bottom w:val="thinThickSmallGap" w:sz="18" w:space="1" w:color="auto"/>
        </w:pBdr>
        <w:shd w:val="clear" w:color="auto" w:fill="EAEAEA"/>
        <w:bidi w:val="0"/>
        <w:spacing w:after="0" w:line="240" w:lineRule="auto"/>
        <w:jc w:val="center"/>
        <w:rPr>
          <w:rFonts w:asciiTheme="minorBidi" w:hAnsiTheme="minorBidi" w:cstheme="minorBidi"/>
          <w:b/>
          <w:bCs/>
          <w:sz w:val="28"/>
          <w:szCs w:val="28"/>
        </w:rPr>
      </w:pPr>
      <w:r w:rsidRPr="00D67EDA">
        <w:rPr>
          <w:rFonts w:asciiTheme="minorBidi" w:hAnsiTheme="minorBidi" w:cstheme="minorBidi"/>
          <w:b/>
          <w:bCs/>
          <w:sz w:val="28"/>
          <w:szCs w:val="28"/>
        </w:rPr>
        <w:t>Legal Researcher - Hashemite Kingdom of Jordan</w:t>
      </w:r>
    </w:p>
    <w:p w14:paraId="44345EE0" w14:textId="2210DB42" w:rsidR="0099627C" w:rsidRPr="00EC162C" w:rsidRDefault="002B21AD" w:rsidP="007D4EF6">
      <w:pPr>
        <w:spacing w:after="0" w:line="240" w:lineRule="auto"/>
        <w:jc w:val="center"/>
        <w:rPr>
          <w:rFonts w:asciiTheme="minorBidi" w:hAnsiTheme="minorBidi" w:cstheme="minorBidi"/>
          <w:b/>
          <w:bCs/>
          <w:sz w:val="24"/>
          <w:szCs w:val="24"/>
          <w:rtl/>
          <w:lang w:bidi="ar-SY"/>
        </w:rPr>
      </w:pPr>
      <w:r>
        <w:rPr>
          <w:rFonts w:asciiTheme="minorBidi" w:hAnsiTheme="minorBidi" w:cstheme="minorBidi" w:hint="cs"/>
          <w:b/>
          <w:bCs/>
          <w:sz w:val="24"/>
          <w:szCs w:val="24"/>
          <w:rtl/>
          <w:lang w:bidi="ar-SY"/>
        </w:rPr>
        <w:t>الملخص</w:t>
      </w:r>
    </w:p>
    <w:p w14:paraId="23C7C5A0" w14:textId="77777777" w:rsidR="00D67EDA" w:rsidRPr="00D67EDA" w:rsidRDefault="00D67EDA" w:rsidP="00D67EDA">
      <w:pPr>
        <w:shd w:val="clear" w:color="auto" w:fill="FFFFFF"/>
        <w:spacing w:after="0" w:line="240" w:lineRule="auto"/>
        <w:jc w:val="lowKashida"/>
        <w:rPr>
          <w:rFonts w:asciiTheme="minorBidi" w:hAnsiTheme="minorBidi"/>
          <w:color w:val="000000"/>
          <w:sz w:val="24"/>
          <w:szCs w:val="24"/>
          <w:rtl/>
        </w:rPr>
      </w:pPr>
      <w:r w:rsidRPr="00D67EDA">
        <w:rPr>
          <w:rFonts w:asciiTheme="minorBidi" w:hAnsiTheme="minorBidi"/>
          <w:color w:val="000000"/>
          <w:sz w:val="24"/>
          <w:szCs w:val="24"/>
          <w:rtl/>
        </w:rPr>
        <w:t>تبحث هذه الدراسة في مدى مواءمة قانون البينات الأردني رقم (30) لسنة 1952 للتحولات الرقمية المتسارعة وتأثيرها على منظومة الإثبات القضائي. تكمن مشكلة الدراسة في وجود فجوة تشريعية بين النصوص التقليدية التي تركز على الدليل المادي، وبين طبيعة الأدلة الرقمية المعاصرة (مثل مراسلات التواصل الاجتماعي، السجلات السحابية، والتوقيعات الإلكترونية). هدفت الدراسة إلى تحليل مكامن القصور في المادتين (47) و(52) من القانون، وتقديم رؤية تطويرية تعزز من "العدالة الناجزة". اعتمدت الباحثة المنهج الوصفي التحليلي والمنهج المقارن مع التشريعين الفرنسي والإماراتي. خلصت الدراسة إلى أن القانون الأردني ما زال يقيد سلطة القاضي في تقدير الأدلة الرقمية بربطها بكونها "مستخرجات حاسوبية"، مما يضعف حجيتها أمام الإنكار. وأوصت الدراسة بضرورة إجراء تعديلات جذرية تتبنى مبدأ "التكافؤ الوظيفي" بين الدليل الورقي والرقمي، وتوسيع سلطة القاضي التقديرية، وتدريب الكوادر القضائية على التعامل مع "سلسلة الحيازة الرقمية" للأدلة</w:t>
      </w:r>
      <w:r w:rsidRPr="00D67EDA">
        <w:rPr>
          <w:rFonts w:asciiTheme="minorBidi" w:hAnsiTheme="minorBidi"/>
          <w:color w:val="000000"/>
          <w:sz w:val="24"/>
          <w:szCs w:val="24"/>
        </w:rPr>
        <w:t>.</w:t>
      </w:r>
    </w:p>
    <w:p w14:paraId="47F09175" w14:textId="77777777" w:rsidR="00D67EDA" w:rsidRDefault="00D67EDA" w:rsidP="00D67EDA">
      <w:pPr>
        <w:shd w:val="clear" w:color="auto" w:fill="FFFFFF"/>
        <w:spacing w:after="0" w:line="240" w:lineRule="auto"/>
        <w:jc w:val="lowKashida"/>
        <w:rPr>
          <w:rFonts w:asciiTheme="minorBidi" w:hAnsiTheme="minorBidi"/>
          <w:color w:val="000000"/>
          <w:sz w:val="24"/>
          <w:szCs w:val="24"/>
          <w:rtl/>
        </w:rPr>
      </w:pPr>
      <w:r w:rsidRPr="00D67EDA">
        <w:rPr>
          <w:rFonts w:asciiTheme="minorBidi" w:hAnsiTheme="minorBidi"/>
          <w:b/>
          <w:bCs/>
          <w:color w:val="000000"/>
          <w:sz w:val="24"/>
          <w:szCs w:val="24"/>
          <w:rtl/>
        </w:rPr>
        <w:t>الكلمات المفتاحية:</w:t>
      </w:r>
      <w:r w:rsidRPr="00D67EDA">
        <w:rPr>
          <w:rFonts w:asciiTheme="minorBidi" w:hAnsiTheme="minorBidi"/>
          <w:color w:val="000000"/>
          <w:sz w:val="24"/>
          <w:szCs w:val="24"/>
          <w:rtl/>
        </w:rPr>
        <w:t xml:space="preserve"> قانون البينات الأردني، الأدلة الرقمية، القصور التشريعي،  العدالة الناجزة، الإثبات الإلكتروني</w:t>
      </w:r>
      <w:r w:rsidRPr="00D67EDA">
        <w:rPr>
          <w:rFonts w:asciiTheme="minorBidi" w:hAnsiTheme="minorBidi"/>
          <w:color w:val="000000"/>
          <w:sz w:val="24"/>
          <w:szCs w:val="24"/>
        </w:rPr>
        <w:t>.</w:t>
      </w:r>
    </w:p>
    <w:p w14:paraId="7273D1B8" w14:textId="789359FF" w:rsidR="00EC162C" w:rsidRPr="00511E6A" w:rsidRDefault="00EC162C" w:rsidP="00D67EDA">
      <w:pPr>
        <w:shd w:val="clear" w:color="auto" w:fill="FFFFFF"/>
        <w:bidi w:val="0"/>
        <w:spacing w:after="0" w:line="240" w:lineRule="auto"/>
        <w:jc w:val="center"/>
        <w:rPr>
          <w:rFonts w:asciiTheme="minorHAnsi" w:hAnsiTheme="minorHAnsi" w:cstheme="minorHAnsi"/>
          <w:sz w:val="24"/>
          <w:szCs w:val="24"/>
        </w:rPr>
      </w:pPr>
      <w:r w:rsidRPr="00511E6A">
        <w:rPr>
          <w:rFonts w:asciiTheme="minorHAnsi" w:hAnsiTheme="minorHAnsi" w:cstheme="minorHAnsi"/>
          <w:b/>
          <w:bCs/>
          <w:sz w:val="24"/>
          <w:szCs w:val="24"/>
          <w:lang w:bidi="ar-SY"/>
        </w:rPr>
        <w:t>Abstract</w:t>
      </w:r>
    </w:p>
    <w:p w14:paraId="7828E9E3" w14:textId="77777777" w:rsidR="00D67EDA" w:rsidRPr="00D67EDA" w:rsidRDefault="00D67EDA" w:rsidP="00D67EDA">
      <w:pPr>
        <w:bidi w:val="0"/>
        <w:spacing w:after="0" w:line="240" w:lineRule="auto"/>
        <w:jc w:val="lowKashida"/>
        <w:rPr>
          <w:rFonts w:asciiTheme="minorHAnsi" w:hAnsiTheme="minorHAnsi" w:cstheme="minorHAnsi"/>
          <w:color w:val="000000"/>
          <w:sz w:val="24"/>
          <w:szCs w:val="24"/>
          <w:lang w:val="en"/>
        </w:rPr>
      </w:pPr>
      <w:r w:rsidRPr="00D67EDA">
        <w:rPr>
          <w:rFonts w:asciiTheme="minorHAnsi" w:hAnsiTheme="minorHAnsi" w:cstheme="minorHAnsi"/>
          <w:color w:val="000000"/>
          <w:sz w:val="24"/>
          <w:szCs w:val="24"/>
          <w:lang w:val="en"/>
        </w:rPr>
        <w:t>This study examines the alignment of the Jordanian Evidence Law No. (30) of 1952 with rapid digital transformations and their impact on the judicial evidence system. The research problem lies in the legislative gap between traditional texts focusing on physical evidence and the nature of contemporary digital evidence (such as social media communications, cloud records, and electronic signatures). The study aimed to analyze the shortcomings in Articles (47) and (52) of the law and provide a developmental vision that enhances "Swift Justice." The researcher adopted a descriptive-analytical approach and a comparative method with French and UAE legislation. The study concluded that Jordanian law still restricts the judge's authority in evaluating digital evidence by linking it to being "computer outputs," which weakens its evidentiary value in the face of denial. The study recommended radical amendments to adopt the principle of "Functional Equivalence" between paper and digital evidence, expand judicial discretion, and train judicial staff on handling the "Digital Chain of Custody" of evidence</w:t>
      </w:r>
      <w:r w:rsidRPr="00D67EDA">
        <w:rPr>
          <w:rFonts w:asciiTheme="minorHAnsi" w:hAnsiTheme="minorHAnsi" w:cs="Calibri"/>
          <w:color w:val="000000"/>
          <w:sz w:val="24"/>
          <w:szCs w:val="24"/>
          <w:rtl/>
          <w:lang w:val="en"/>
        </w:rPr>
        <w:t>.</w:t>
      </w:r>
    </w:p>
    <w:p w14:paraId="0F117665" w14:textId="77777777" w:rsidR="00D67EDA" w:rsidRDefault="00D67EDA" w:rsidP="00D67EDA">
      <w:pPr>
        <w:bidi w:val="0"/>
        <w:spacing w:after="0" w:line="240" w:lineRule="auto"/>
        <w:jc w:val="lowKashida"/>
        <w:rPr>
          <w:rFonts w:asciiTheme="minorHAnsi" w:hAnsiTheme="minorHAnsi" w:cs="Calibri"/>
          <w:color w:val="000000"/>
          <w:sz w:val="24"/>
          <w:szCs w:val="24"/>
          <w:lang w:val="en"/>
        </w:rPr>
      </w:pPr>
      <w:r w:rsidRPr="00D67EDA">
        <w:rPr>
          <w:rFonts w:asciiTheme="minorHAnsi" w:hAnsiTheme="minorHAnsi" w:cstheme="minorHAnsi"/>
          <w:b/>
          <w:bCs/>
          <w:color w:val="000000"/>
          <w:sz w:val="24"/>
          <w:szCs w:val="24"/>
          <w:lang w:val="en"/>
        </w:rPr>
        <w:t>Keywords:</w:t>
      </w:r>
      <w:r w:rsidRPr="00D67EDA">
        <w:rPr>
          <w:rFonts w:asciiTheme="minorHAnsi" w:hAnsiTheme="minorHAnsi" w:cstheme="minorHAnsi"/>
          <w:color w:val="000000"/>
          <w:sz w:val="24"/>
          <w:szCs w:val="24"/>
          <w:lang w:val="en"/>
        </w:rPr>
        <w:t xml:space="preserve"> Jordanian Evidence Law, Digital Evidence, Legislative Shortcomings, Swift Justice, Electronic Proof</w:t>
      </w:r>
      <w:r w:rsidRPr="00D67EDA">
        <w:rPr>
          <w:rFonts w:asciiTheme="minorHAnsi" w:hAnsiTheme="minorHAnsi" w:cs="Calibri"/>
          <w:color w:val="000000"/>
          <w:sz w:val="24"/>
          <w:szCs w:val="24"/>
          <w:rtl/>
          <w:lang w:val="en"/>
        </w:rPr>
        <w:t>.</w:t>
      </w:r>
    </w:p>
    <w:p w14:paraId="3166EAFC" w14:textId="565ED4AB" w:rsidR="002E5808" w:rsidRDefault="002E5808" w:rsidP="00D67EDA">
      <w:pPr>
        <w:spacing w:after="0" w:line="240" w:lineRule="auto"/>
        <w:jc w:val="center"/>
        <w:rPr>
          <w:rFonts w:asciiTheme="minorBidi" w:hAnsiTheme="minorBidi" w:cstheme="minorBidi"/>
          <w:b/>
          <w:bCs/>
          <w:sz w:val="24"/>
          <w:szCs w:val="24"/>
          <w:rtl/>
          <w:lang w:bidi="ar-IQ"/>
        </w:rPr>
      </w:pPr>
      <w:r>
        <w:rPr>
          <w:rFonts w:asciiTheme="minorBidi" w:hAnsiTheme="minorBidi" w:cstheme="minorBidi" w:hint="cs"/>
          <w:b/>
          <w:bCs/>
          <w:sz w:val="24"/>
          <w:szCs w:val="24"/>
          <w:rtl/>
          <w:lang w:bidi="ar-IQ"/>
        </w:rPr>
        <w:t>ال</w:t>
      </w:r>
      <w:r w:rsidRPr="002E5808">
        <w:rPr>
          <w:rFonts w:asciiTheme="minorBidi" w:hAnsiTheme="minorBidi" w:cstheme="minorBidi"/>
          <w:b/>
          <w:bCs/>
          <w:sz w:val="24"/>
          <w:szCs w:val="24"/>
          <w:rtl/>
          <w:lang w:bidi="ar-IQ"/>
        </w:rPr>
        <w:t>مقدمة</w:t>
      </w:r>
    </w:p>
    <w:p w14:paraId="29D23E3C"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tl/>
        </w:rPr>
      </w:pPr>
      <w:r w:rsidRPr="00D67EDA">
        <w:rPr>
          <w:rFonts w:asciiTheme="minorBidi" w:hAnsiTheme="minorBidi" w:cstheme="minorBidi"/>
          <w:rtl/>
        </w:rPr>
        <w:t>إن هذا الجمود التشريعي لا يقتصر أثره على ساحات القضاء فحسب، بل يمتد ليمسَّ عصب الاقتصاد الرقمي في المملكة</w:t>
      </w:r>
      <w:r w:rsidRPr="00D67EDA">
        <w:rPr>
          <w:rFonts w:asciiTheme="minorBidi" w:hAnsiTheme="minorBidi" w:cstheme="minorBidi"/>
        </w:rPr>
        <w:t xml:space="preserve">. </w:t>
      </w:r>
      <w:r w:rsidRPr="00D67EDA">
        <w:rPr>
          <w:rFonts w:asciiTheme="minorBidi" w:hAnsiTheme="minorBidi" w:cstheme="minorBidi"/>
          <w:rtl/>
        </w:rPr>
        <w:t>ففي ظل غياب نص تشريعي صريح يواكب التطورات المتسارعة مثل تقنيات البلوكشين</w:t>
      </w:r>
      <w:r w:rsidRPr="00D67EDA">
        <w:rPr>
          <w:rFonts w:asciiTheme="minorBidi" w:hAnsiTheme="minorBidi" w:cstheme="minorBidi"/>
        </w:rPr>
        <w:t xml:space="preserve"> (Blockchain) </w:t>
      </w:r>
      <w:r w:rsidRPr="00D67EDA">
        <w:rPr>
          <w:rFonts w:asciiTheme="minorBidi" w:hAnsiTheme="minorBidi" w:cstheme="minorBidi"/>
          <w:rtl/>
        </w:rPr>
        <w:t>والعقود الذكية، يجد المستثمر والتاجر نفسهما في بيئة قانونية غير مستقرة، تفتقر إلى 'اليقين القانوني' اللازم لحماية المعاملات الإلكترونية</w:t>
      </w:r>
      <w:r w:rsidRPr="00D67EDA">
        <w:rPr>
          <w:rFonts w:asciiTheme="minorBidi" w:hAnsiTheme="minorBidi" w:cstheme="minorBidi"/>
        </w:rPr>
        <w:t xml:space="preserve">. </w:t>
      </w:r>
      <w:r w:rsidRPr="00D67EDA">
        <w:rPr>
          <w:rFonts w:asciiTheme="minorBidi" w:hAnsiTheme="minorBidi" w:cstheme="minorBidi"/>
          <w:rtl/>
        </w:rPr>
        <w:t>إن استمرار الاعتماد على الممارسات التقليدية في الإثبات يرفع من تكاليف التقاضي ويطيل أمد النزاعات، مما يضعف من تنافسية البيئة الاستثمارية الأردنية التي تسعى 'رؤية التحديث الاقتصادي 2033' إلى تعزيزها</w:t>
      </w:r>
      <w:r w:rsidRPr="00D67EDA">
        <w:rPr>
          <w:rFonts w:asciiTheme="minorBidi" w:hAnsiTheme="minorBidi" w:cstheme="minorBidi"/>
        </w:rPr>
        <w:t xml:space="preserve">. </w:t>
      </w:r>
      <w:r w:rsidRPr="00D67EDA">
        <w:rPr>
          <w:rFonts w:asciiTheme="minorBidi" w:hAnsiTheme="minorBidi" w:cstheme="minorBidi"/>
          <w:rtl/>
        </w:rPr>
        <w:t>وعليه، فإن الحاجة إلى تحديث قانون البينات لم تعد خياراً لتطوير النصوص، بل ضرورة استراتيجية لضمان مواكبة الأردن للتحول الرقمي العالمي وحماية الحقوق في الفضاء السيبراني.</w:t>
      </w:r>
    </w:p>
    <w:p w14:paraId="01AA4AAF"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tl/>
        </w:rPr>
      </w:pPr>
      <w:r w:rsidRPr="00D67EDA">
        <w:rPr>
          <w:rFonts w:asciiTheme="minorBidi" w:hAnsiTheme="minorBidi" w:cstheme="minorBidi"/>
          <w:b/>
          <w:bCs/>
          <w:rtl/>
        </w:rPr>
        <w:t>إشكالية الدراسة</w:t>
      </w:r>
    </w:p>
    <w:p w14:paraId="7CFFC89A"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تتبلور إشكالية الدراسة في الإجابة على التساؤلات التحليلية الآتية</w:t>
      </w:r>
      <w:r w:rsidRPr="00D67EDA">
        <w:rPr>
          <w:rFonts w:asciiTheme="minorBidi" w:hAnsiTheme="minorBidi" w:cstheme="minorBidi"/>
        </w:rPr>
        <w:t>:</w:t>
      </w:r>
    </w:p>
    <w:p w14:paraId="7BBFC284" w14:textId="77777777" w:rsidR="00D67EDA" w:rsidRPr="00D67EDA" w:rsidRDefault="00D67EDA" w:rsidP="00D67EDA">
      <w:pPr>
        <w:pStyle w:val="NormalWeb"/>
        <w:numPr>
          <w:ilvl w:val="0"/>
          <w:numId w:val="259"/>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لماذا يصر المشرع والقضاء الأردني على إخضاع الأدلة الرقمية لشرط "المستخرج الورقي" وفق المادة (47)، وما هي تبعات هذا العجز الإجرائي في إثبات صحة الدليل عند الإنكار؟</w:t>
      </w:r>
    </w:p>
    <w:p w14:paraId="06963007" w14:textId="77777777" w:rsidR="00D67EDA" w:rsidRPr="00D67EDA" w:rsidRDefault="00D67EDA" w:rsidP="00D67EDA">
      <w:pPr>
        <w:pStyle w:val="NormalWeb"/>
        <w:numPr>
          <w:ilvl w:val="0"/>
          <w:numId w:val="259"/>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إلى أي مدى يؤدي غياب معايير فنية ملزمة لتوثيق الدليل الرقمي إلى تحويل سلطة القاضي التقديرية (بموجب المادة 52) إلى "سلطة فنية" تابعة لتقرير الخبير بالكامل؟</w:t>
      </w:r>
    </w:p>
    <w:p w14:paraId="4ABD2993" w14:textId="77777777" w:rsidR="00D67EDA" w:rsidRPr="00D67EDA" w:rsidRDefault="00D67EDA" w:rsidP="00D67EDA">
      <w:pPr>
        <w:pStyle w:val="NormalWeb"/>
        <w:numPr>
          <w:ilvl w:val="0"/>
          <w:numId w:val="259"/>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كيف يساهم القصور في التمييز بين "الدليل الرقمي الأصيل" و"المستخرج الورقي" في فتح ثغرات للتلاعب بالبيانات الرقمية وتضليل العدالة؟</w:t>
      </w:r>
    </w:p>
    <w:p w14:paraId="55F0CC9C" w14:textId="77777777" w:rsidR="00D67EDA" w:rsidRPr="00D67EDA" w:rsidRDefault="00D67EDA" w:rsidP="00D67EDA">
      <w:pPr>
        <w:pStyle w:val="NormalWeb"/>
        <w:numPr>
          <w:ilvl w:val="0"/>
          <w:numId w:val="259"/>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هل تمتلك النصوص الحالية في قانون البينات المرونة الكافية لمواجهة تحديات "الأدلة المصطنعة" عبر تقنيات الذكاء الاصطناعي</w:t>
      </w:r>
      <w:r w:rsidRPr="00D67EDA">
        <w:rPr>
          <w:rFonts w:asciiTheme="minorBidi" w:hAnsiTheme="minorBidi" w:cstheme="minorBidi"/>
        </w:rPr>
        <w:t xml:space="preserve"> (Deepfake) </w:t>
      </w:r>
      <w:r w:rsidRPr="00D67EDA">
        <w:rPr>
          <w:rFonts w:asciiTheme="minorBidi" w:hAnsiTheme="minorBidi" w:cstheme="minorBidi"/>
          <w:rtl/>
        </w:rPr>
        <w:t>دون المساس بمبدأ القناعة الوجدانية للقاضي؟</w:t>
      </w:r>
    </w:p>
    <w:p w14:paraId="11E65F35"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tl/>
        </w:rPr>
      </w:pPr>
      <w:r w:rsidRPr="00D67EDA">
        <w:rPr>
          <w:rFonts w:asciiTheme="minorBidi" w:hAnsiTheme="minorBidi" w:cstheme="minorBidi"/>
          <w:b/>
          <w:bCs/>
          <w:rtl/>
        </w:rPr>
        <w:lastRenderedPageBreak/>
        <w:t>الدراسات السابقة</w:t>
      </w:r>
    </w:p>
    <w:p w14:paraId="4DDF2242" w14:textId="11E45CC1"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 xml:space="preserve">لقد تناولت مجموعة من الدراسات القانونية الأردنية إشكالات الإثبات الرقمي؛ فقد ركزت دراسة (العواملة، 2019) </w:t>
      </w:r>
      <w:r w:rsidR="004D64B0">
        <w:rPr>
          <w:rStyle w:val="FootnoteReference"/>
          <w:rFonts w:asciiTheme="minorBidi" w:hAnsiTheme="minorBidi" w:cstheme="minorBidi"/>
          <w:rtl/>
        </w:rPr>
        <w:t>(</w:t>
      </w:r>
      <w:r w:rsidR="004D64B0" w:rsidRPr="00D67EDA">
        <w:rPr>
          <w:rStyle w:val="FootnoteReference"/>
          <w:rFonts w:asciiTheme="minorBidi" w:hAnsiTheme="minorBidi" w:cstheme="minorBidi"/>
          <w:rtl/>
        </w:rPr>
        <w:footnoteReference w:id="1"/>
      </w:r>
      <w:r w:rsidR="004D64B0">
        <w:rPr>
          <w:rStyle w:val="FootnoteReference"/>
          <w:rFonts w:asciiTheme="minorBidi" w:hAnsiTheme="minorBidi" w:cstheme="minorBidi"/>
          <w:rtl/>
        </w:rPr>
        <w:t>)</w:t>
      </w:r>
      <w:r w:rsidRPr="00D67EDA">
        <w:rPr>
          <w:rFonts w:asciiTheme="minorBidi" w:hAnsiTheme="minorBidi" w:cstheme="minorBidi"/>
          <w:rtl/>
        </w:rPr>
        <w:t>على السلطة التقديرية للقاضي في تقدير البينة الإلكترونية، بينما انصبت دراسة (بني يونس، 2021)</w:t>
      </w:r>
      <w:r w:rsidR="004D64B0">
        <w:rPr>
          <w:rStyle w:val="FootnoteReference"/>
          <w:rFonts w:asciiTheme="minorBidi" w:hAnsiTheme="minorBidi" w:cstheme="minorBidi"/>
          <w:rtl/>
        </w:rPr>
        <w:t>(</w:t>
      </w:r>
      <w:r w:rsidR="004D64B0" w:rsidRPr="00D67EDA">
        <w:rPr>
          <w:rStyle w:val="FootnoteReference"/>
          <w:rFonts w:asciiTheme="minorBidi" w:hAnsiTheme="minorBidi" w:cstheme="minorBidi"/>
          <w:rtl/>
        </w:rPr>
        <w:footnoteReference w:id="2"/>
      </w:r>
      <w:r w:rsidR="004D64B0">
        <w:rPr>
          <w:rStyle w:val="FootnoteReference"/>
          <w:rFonts w:asciiTheme="minorBidi" w:hAnsiTheme="minorBidi" w:cstheme="minorBidi"/>
          <w:rtl/>
        </w:rPr>
        <w:t>)</w:t>
      </w:r>
      <w:r w:rsidRPr="00D67EDA">
        <w:rPr>
          <w:rFonts w:asciiTheme="minorBidi" w:hAnsiTheme="minorBidi" w:cstheme="minorBidi"/>
          <w:rtl/>
        </w:rPr>
        <w:t xml:space="preserve"> على المقارنة التشريعية لحجية الدليل الإلكتروني. وعلى الرغم من أهمية ما توصلت إليه هذه الدراسات، إلا أن دراستنا تتميز عنها بتركيزها المباشر على </w:t>
      </w:r>
      <w:r w:rsidRPr="00D67EDA">
        <w:rPr>
          <w:rFonts w:asciiTheme="minorBidi" w:hAnsiTheme="minorBidi" w:cstheme="minorBidi"/>
          <w:b/>
          <w:bCs/>
        </w:rPr>
        <w:t>"</w:t>
      </w:r>
      <w:r w:rsidRPr="00D67EDA">
        <w:rPr>
          <w:rFonts w:asciiTheme="minorBidi" w:hAnsiTheme="minorBidi" w:cstheme="minorBidi"/>
          <w:b/>
          <w:bCs/>
          <w:rtl/>
        </w:rPr>
        <w:t>العجز الإجرائي" عند حالة الإنكار</w:t>
      </w:r>
      <w:r w:rsidRPr="00D67EDA">
        <w:rPr>
          <w:rFonts w:asciiTheme="minorBidi" w:hAnsiTheme="minorBidi" w:cstheme="minorBidi"/>
          <w:rtl/>
        </w:rPr>
        <w:t>، وتقديمها بروتوكولاً قانونياً لضبط "سلسلة الحيازة الرقمية"، وهو الجانب الذي لم تكتمل معالجة تفاصيله التشريعية في الدراسات السابقة، مما يجعل بحثنا إضافة نوعية تسد الفجوة بين التنظير القانوني والتطبيق القضائي</w:t>
      </w:r>
      <w:r w:rsidRPr="00D67EDA">
        <w:rPr>
          <w:rFonts w:asciiTheme="minorBidi" w:hAnsiTheme="minorBidi" w:cstheme="minorBidi"/>
        </w:rPr>
        <w:t>.</w:t>
      </w:r>
    </w:p>
    <w:p w14:paraId="44F13B73"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أهداف الدراسة</w:t>
      </w:r>
    </w:p>
    <w:p w14:paraId="7582916D" w14:textId="77777777" w:rsidR="00D67EDA" w:rsidRPr="00D67EDA" w:rsidRDefault="00D67EDA" w:rsidP="00D67EDA">
      <w:pPr>
        <w:pStyle w:val="NormalWeb"/>
        <w:bidi/>
        <w:spacing w:before="0" w:beforeAutospacing="0" w:after="0" w:afterAutospacing="0"/>
        <w:rPr>
          <w:rFonts w:asciiTheme="minorBidi" w:hAnsiTheme="minorBidi" w:cstheme="minorBidi"/>
        </w:rPr>
      </w:pPr>
      <w:r w:rsidRPr="00D67EDA">
        <w:rPr>
          <w:rFonts w:asciiTheme="minorBidi" w:hAnsiTheme="minorBidi" w:cstheme="minorBidi"/>
          <w:rtl/>
        </w:rPr>
        <w:t>تسعى هذه الدراسة إلى تحقيق الأهداف الآتية</w:t>
      </w:r>
      <w:r w:rsidRPr="00D67EDA">
        <w:rPr>
          <w:rFonts w:asciiTheme="minorBidi" w:hAnsiTheme="minorBidi" w:cstheme="minorBidi"/>
        </w:rPr>
        <w:t>:</w:t>
      </w:r>
    </w:p>
    <w:p w14:paraId="2D11FCF5" w14:textId="77777777" w:rsidR="00D67EDA" w:rsidRPr="00D67EDA" w:rsidRDefault="00D67EDA" w:rsidP="00D67EDA">
      <w:pPr>
        <w:pStyle w:val="NormalWeb"/>
        <w:numPr>
          <w:ilvl w:val="0"/>
          <w:numId w:val="258"/>
        </w:numPr>
        <w:bidi/>
        <w:spacing w:before="0" w:beforeAutospacing="0" w:after="0" w:afterAutospacing="0"/>
        <w:rPr>
          <w:rFonts w:asciiTheme="minorBidi" w:hAnsiTheme="minorBidi" w:cstheme="minorBidi"/>
        </w:rPr>
      </w:pPr>
      <w:r w:rsidRPr="00D67EDA">
        <w:rPr>
          <w:rFonts w:asciiTheme="minorBidi" w:hAnsiTheme="minorBidi" w:cstheme="minorBidi"/>
          <w:rtl/>
        </w:rPr>
        <w:t>تحديد مكامن القصور</w:t>
      </w:r>
      <w:r w:rsidRPr="00D67EDA">
        <w:rPr>
          <w:rFonts w:asciiTheme="minorBidi" w:hAnsiTheme="minorBidi" w:cstheme="minorBidi"/>
        </w:rPr>
        <w:t xml:space="preserve">: </w:t>
      </w:r>
      <w:r w:rsidRPr="00D67EDA">
        <w:rPr>
          <w:rFonts w:asciiTheme="minorBidi" w:hAnsiTheme="minorBidi" w:cstheme="minorBidi"/>
          <w:rtl/>
        </w:rPr>
        <w:t>تحليل الفجوة التشريعية في المادتين (47) و(52) من قانون البينات الأردني، وبيان أثرها على تقييد سلطة القاضي التقديرية في القضايا التقنية</w:t>
      </w:r>
      <w:r w:rsidRPr="00D67EDA">
        <w:rPr>
          <w:rFonts w:asciiTheme="minorBidi" w:hAnsiTheme="minorBidi" w:cstheme="minorBidi"/>
        </w:rPr>
        <w:t xml:space="preserve">. </w:t>
      </w:r>
    </w:p>
    <w:p w14:paraId="26220E4F" w14:textId="77777777" w:rsidR="00D67EDA" w:rsidRPr="00D67EDA" w:rsidRDefault="00D67EDA" w:rsidP="00D67EDA">
      <w:pPr>
        <w:pStyle w:val="NormalWeb"/>
        <w:numPr>
          <w:ilvl w:val="0"/>
          <w:numId w:val="258"/>
        </w:numPr>
        <w:bidi/>
        <w:spacing w:before="0" w:beforeAutospacing="0" w:after="0" w:afterAutospacing="0"/>
        <w:rPr>
          <w:rFonts w:asciiTheme="minorBidi" w:hAnsiTheme="minorBidi" w:cstheme="minorBidi"/>
        </w:rPr>
      </w:pPr>
      <w:r w:rsidRPr="00D67EDA">
        <w:rPr>
          <w:rFonts w:asciiTheme="minorBidi" w:hAnsiTheme="minorBidi" w:cstheme="minorBidi"/>
          <w:rtl/>
        </w:rPr>
        <w:t>وضع إطار قانوني مقترح</w:t>
      </w:r>
      <w:r w:rsidRPr="00D67EDA">
        <w:rPr>
          <w:rFonts w:asciiTheme="minorBidi" w:hAnsiTheme="minorBidi" w:cstheme="minorBidi"/>
        </w:rPr>
        <w:t xml:space="preserve">: </w:t>
      </w:r>
      <w:r w:rsidRPr="00D67EDA">
        <w:rPr>
          <w:rFonts w:asciiTheme="minorBidi" w:hAnsiTheme="minorBidi" w:cstheme="minorBidi"/>
          <w:rtl/>
        </w:rPr>
        <w:t>صياغة نصوص قانونية معدلة تعتمد مفهوم "التكافؤ الوظيفي" بين الدليل الورقي والرقمي، وتُخرج الدليل الرقمي من عباءة "المستخرج الورقي</w:t>
      </w:r>
      <w:r w:rsidRPr="00D67EDA">
        <w:rPr>
          <w:rFonts w:asciiTheme="minorBidi" w:hAnsiTheme="minorBidi" w:cstheme="minorBidi"/>
        </w:rPr>
        <w:t xml:space="preserve">". </w:t>
      </w:r>
    </w:p>
    <w:p w14:paraId="038BB53C" w14:textId="77777777" w:rsidR="00D67EDA" w:rsidRPr="00D67EDA" w:rsidRDefault="00D67EDA" w:rsidP="00D67EDA">
      <w:pPr>
        <w:pStyle w:val="NormalWeb"/>
        <w:numPr>
          <w:ilvl w:val="0"/>
          <w:numId w:val="258"/>
        </w:numPr>
        <w:bidi/>
        <w:spacing w:before="0" w:beforeAutospacing="0" w:after="0" w:afterAutospacing="0"/>
        <w:rPr>
          <w:rFonts w:asciiTheme="minorBidi" w:hAnsiTheme="minorBidi" w:cstheme="minorBidi"/>
        </w:rPr>
      </w:pPr>
      <w:r w:rsidRPr="00D67EDA">
        <w:rPr>
          <w:rFonts w:asciiTheme="minorBidi" w:hAnsiTheme="minorBidi" w:cstheme="minorBidi"/>
          <w:rtl/>
        </w:rPr>
        <w:t>تحديد معايير فنية للقاضي</w:t>
      </w:r>
      <w:r w:rsidRPr="00D67EDA">
        <w:rPr>
          <w:rFonts w:asciiTheme="minorBidi" w:hAnsiTheme="minorBidi" w:cstheme="minorBidi"/>
        </w:rPr>
        <w:t xml:space="preserve">: </w:t>
      </w:r>
      <w:r w:rsidRPr="00D67EDA">
        <w:rPr>
          <w:rFonts w:asciiTheme="minorBidi" w:hAnsiTheme="minorBidi" w:cstheme="minorBidi"/>
          <w:rtl/>
        </w:rPr>
        <w:t>اقتراح بروتوكول قانوني-تقني لـ "سلسلة الحيازة الرقمية" يُمكّن القاضي من التحقق من سلامة الدليل دون الحاجة لخبرة فنية معقدة في كل حالة</w:t>
      </w:r>
      <w:r w:rsidRPr="00D67EDA">
        <w:rPr>
          <w:rFonts w:asciiTheme="minorBidi" w:hAnsiTheme="minorBidi" w:cstheme="minorBidi"/>
        </w:rPr>
        <w:t xml:space="preserve">. </w:t>
      </w:r>
    </w:p>
    <w:p w14:paraId="21B46BAE" w14:textId="77777777" w:rsidR="00D67EDA" w:rsidRPr="00D67EDA" w:rsidRDefault="00D67EDA" w:rsidP="00D67EDA">
      <w:pPr>
        <w:pStyle w:val="NormalWeb"/>
        <w:numPr>
          <w:ilvl w:val="0"/>
          <w:numId w:val="258"/>
        </w:numPr>
        <w:bidi/>
        <w:spacing w:before="0" w:beforeAutospacing="0" w:after="0" w:afterAutospacing="0"/>
        <w:rPr>
          <w:rFonts w:asciiTheme="minorBidi" w:hAnsiTheme="minorBidi" w:cstheme="minorBidi"/>
        </w:rPr>
      </w:pPr>
      <w:r w:rsidRPr="00D67EDA">
        <w:rPr>
          <w:rFonts w:asciiTheme="minorBidi" w:hAnsiTheme="minorBidi" w:cstheme="minorBidi"/>
          <w:rtl/>
        </w:rPr>
        <w:t>تطوير منظومة الخبرة القضائية</w:t>
      </w:r>
      <w:r w:rsidRPr="00D67EDA">
        <w:rPr>
          <w:rFonts w:asciiTheme="minorBidi" w:hAnsiTheme="minorBidi" w:cstheme="minorBidi"/>
        </w:rPr>
        <w:t xml:space="preserve">: </w:t>
      </w:r>
      <w:r w:rsidRPr="00D67EDA">
        <w:rPr>
          <w:rFonts w:asciiTheme="minorBidi" w:hAnsiTheme="minorBidi" w:cstheme="minorBidi"/>
          <w:rtl/>
        </w:rPr>
        <w:t>تقديم رؤية لإعادة هيكلة نظام "الخبراء المعتمدين" لدى المحاكم ليشمل خبراء متخصصين في الأدلة الرقمية، وتحديد صلاحياتهم القانونية في مواجهة الذكاء الاصطناعي</w:t>
      </w:r>
      <w:r w:rsidRPr="00D67EDA">
        <w:rPr>
          <w:rFonts w:asciiTheme="minorBidi" w:hAnsiTheme="minorBidi" w:cstheme="minorBidi"/>
        </w:rPr>
        <w:t xml:space="preserve">. </w:t>
      </w:r>
    </w:p>
    <w:p w14:paraId="2193C47C" w14:textId="77777777" w:rsidR="00D67EDA" w:rsidRPr="00D67EDA" w:rsidRDefault="00D67EDA" w:rsidP="00D67EDA">
      <w:pPr>
        <w:pStyle w:val="NormalWeb"/>
        <w:numPr>
          <w:ilvl w:val="0"/>
          <w:numId w:val="258"/>
        </w:numPr>
        <w:bidi/>
        <w:spacing w:before="0" w:beforeAutospacing="0" w:after="0" w:afterAutospacing="0"/>
        <w:rPr>
          <w:rFonts w:asciiTheme="minorBidi" w:hAnsiTheme="minorBidi" w:cstheme="minorBidi"/>
        </w:rPr>
      </w:pPr>
      <w:r w:rsidRPr="00D67EDA">
        <w:rPr>
          <w:rFonts w:asciiTheme="minorBidi" w:hAnsiTheme="minorBidi" w:cstheme="minorBidi"/>
          <w:rtl/>
        </w:rPr>
        <w:t>تطوير التوافق التشريعي</w:t>
      </w:r>
      <w:r w:rsidRPr="00D67EDA">
        <w:rPr>
          <w:rFonts w:asciiTheme="minorBidi" w:hAnsiTheme="minorBidi" w:cstheme="minorBidi"/>
        </w:rPr>
        <w:t xml:space="preserve">: </w:t>
      </w:r>
      <w:r w:rsidRPr="00D67EDA">
        <w:rPr>
          <w:rFonts w:asciiTheme="minorBidi" w:hAnsiTheme="minorBidi" w:cstheme="minorBidi"/>
          <w:rtl/>
        </w:rPr>
        <w:t>اقتراح آليات لدمج نصوص الإثبات الإلكتروني المتناثرة بين القوانين الخاصة لتكون جزءاً أصيلاً من قانون البينات، مما يحقق استقرار المراكز القانونية</w:t>
      </w:r>
      <w:r w:rsidRPr="00D67EDA">
        <w:rPr>
          <w:rFonts w:asciiTheme="minorBidi" w:hAnsiTheme="minorBidi" w:cstheme="minorBidi"/>
        </w:rPr>
        <w:t>.</w:t>
      </w:r>
    </w:p>
    <w:p w14:paraId="4D709520" w14:textId="2885E68D"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أهمية الدراسة</w:t>
      </w:r>
    </w:p>
    <w:p w14:paraId="7315BB5F"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تكتسب هذه الدراسة أهميتها من مسارين</w:t>
      </w:r>
      <w:r w:rsidRPr="00D67EDA">
        <w:rPr>
          <w:rFonts w:asciiTheme="minorBidi" w:hAnsiTheme="minorBidi" w:cstheme="minorBidi"/>
        </w:rPr>
        <w:t>:</w:t>
      </w:r>
    </w:p>
    <w:p w14:paraId="23C2280B" w14:textId="77777777" w:rsidR="00D67EDA" w:rsidRPr="00D67EDA" w:rsidRDefault="00D67EDA" w:rsidP="00D67EDA">
      <w:pPr>
        <w:pStyle w:val="NormalWeb"/>
        <w:numPr>
          <w:ilvl w:val="0"/>
          <w:numId w:val="233"/>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الأهمية النظرية</w:t>
      </w:r>
      <w:r w:rsidRPr="00D67EDA">
        <w:rPr>
          <w:rFonts w:asciiTheme="minorBidi" w:hAnsiTheme="minorBidi" w:cstheme="minorBidi"/>
        </w:rPr>
        <w:t xml:space="preserve">: </w:t>
      </w:r>
      <w:r w:rsidRPr="00D67EDA">
        <w:rPr>
          <w:rFonts w:asciiTheme="minorBidi" w:hAnsiTheme="minorBidi" w:cstheme="minorBidi"/>
          <w:rtl/>
        </w:rPr>
        <w:t>في كونها تثري المكتبة القانونية الأردنية ببحث متخصص يربط بين القواعد العامة للإثبات والتحولات التكنولوجية المعاصرة، مما يفتح آفاقاً للباحثين لتطوير فقه القانون الرقمي</w:t>
      </w:r>
      <w:r w:rsidRPr="00D67EDA">
        <w:rPr>
          <w:rFonts w:asciiTheme="minorBidi" w:hAnsiTheme="minorBidi" w:cstheme="minorBidi"/>
        </w:rPr>
        <w:t>.</w:t>
      </w:r>
    </w:p>
    <w:p w14:paraId="6A8703A3" w14:textId="77777777" w:rsidR="00D67EDA" w:rsidRPr="00D67EDA" w:rsidRDefault="00D67EDA" w:rsidP="00D67EDA">
      <w:pPr>
        <w:pStyle w:val="NormalWeb"/>
        <w:numPr>
          <w:ilvl w:val="0"/>
          <w:numId w:val="233"/>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الأهمية التطبيقية</w:t>
      </w:r>
      <w:r w:rsidRPr="00D67EDA">
        <w:rPr>
          <w:rFonts w:asciiTheme="minorBidi" w:hAnsiTheme="minorBidi" w:cstheme="minorBidi"/>
        </w:rPr>
        <w:t xml:space="preserve">: </w:t>
      </w:r>
      <w:r w:rsidRPr="00D67EDA">
        <w:rPr>
          <w:rFonts w:asciiTheme="minorBidi" w:hAnsiTheme="minorBidi" w:cstheme="minorBidi"/>
          <w:rtl/>
        </w:rPr>
        <w:t>تكمن في تقديم حلول وتوصيات عملية للمشرع الأردني وللمشتغلين في القضاء، مما يساهم في توحيد الاجتهاد القضائي وتقليل أمد التقاضي الناجم عن النزاع حول حجية الأدلة الإلكترونية</w:t>
      </w:r>
      <w:r w:rsidRPr="00D67EDA">
        <w:rPr>
          <w:rFonts w:asciiTheme="minorBidi" w:hAnsiTheme="minorBidi" w:cstheme="minorBidi"/>
        </w:rPr>
        <w:t>.</w:t>
      </w:r>
    </w:p>
    <w:p w14:paraId="58A375A8"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منهجية الدراسة</w:t>
      </w:r>
    </w:p>
    <w:p w14:paraId="11E58806"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لتحقيق أهداف الدراسة والإجابة على تساؤلاتها، اعتمدت الباحثة على تكامل ثلاثة مناهج علمية</w:t>
      </w:r>
      <w:r w:rsidRPr="00D67EDA">
        <w:rPr>
          <w:rFonts w:asciiTheme="minorBidi" w:hAnsiTheme="minorBidi" w:cstheme="minorBidi"/>
        </w:rPr>
        <w:t>:</w:t>
      </w:r>
    </w:p>
    <w:p w14:paraId="2DA0076D" w14:textId="77777777" w:rsidR="00D67EDA" w:rsidRPr="00D67EDA" w:rsidRDefault="00D67EDA" w:rsidP="00D67EDA">
      <w:pPr>
        <w:pStyle w:val="NormalWeb"/>
        <w:numPr>
          <w:ilvl w:val="0"/>
          <w:numId w:val="234"/>
        </w:numPr>
        <w:tabs>
          <w:tab w:val="clear" w:pos="720"/>
        </w:tabs>
        <w:bidi/>
        <w:spacing w:before="0" w:beforeAutospacing="0" w:after="0" w:afterAutospacing="0"/>
        <w:ind w:left="424"/>
        <w:jc w:val="lowKashida"/>
        <w:rPr>
          <w:rFonts w:asciiTheme="minorBidi" w:hAnsiTheme="minorBidi" w:cstheme="minorBidi"/>
        </w:rPr>
      </w:pPr>
      <w:r w:rsidRPr="00D67EDA">
        <w:rPr>
          <w:rFonts w:asciiTheme="minorBidi" w:hAnsiTheme="minorBidi" w:cstheme="minorBidi"/>
          <w:rtl/>
        </w:rPr>
        <w:t>المنهج الوصفي التحليلي</w:t>
      </w:r>
      <w:r w:rsidRPr="00D67EDA">
        <w:rPr>
          <w:rFonts w:asciiTheme="minorBidi" w:hAnsiTheme="minorBidi" w:cstheme="minorBidi"/>
        </w:rPr>
        <w:t xml:space="preserve">: </w:t>
      </w:r>
      <w:r w:rsidRPr="00D67EDA">
        <w:rPr>
          <w:rFonts w:asciiTheme="minorBidi" w:hAnsiTheme="minorBidi" w:cstheme="minorBidi"/>
          <w:rtl/>
        </w:rPr>
        <w:t>لوصف الواقع التشريعي لنصوص قانون البينات الأردني وتحليل مضامينها وعلاقتها بالأدلة الرقمية</w:t>
      </w:r>
      <w:r w:rsidRPr="00D67EDA">
        <w:rPr>
          <w:rFonts w:asciiTheme="minorBidi" w:hAnsiTheme="minorBidi" w:cstheme="minorBidi"/>
        </w:rPr>
        <w:t>.</w:t>
      </w:r>
    </w:p>
    <w:p w14:paraId="6F49B1BE" w14:textId="77777777" w:rsidR="00D67EDA" w:rsidRPr="00D67EDA" w:rsidRDefault="00D67EDA" w:rsidP="00D67EDA">
      <w:pPr>
        <w:pStyle w:val="NormalWeb"/>
        <w:numPr>
          <w:ilvl w:val="0"/>
          <w:numId w:val="234"/>
        </w:numPr>
        <w:tabs>
          <w:tab w:val="clear" w:pos="720"/>
        </w:tabs>
        <w:bidi/>
        <w:spacing w:before="0" w:beforeAutospacing="0" w:after="0" w:afterAutospacing="0"/>
        <w:ind w:left="424"/>
        <w:jc w:val="lowKashida"/>
        <w:rPr>
          <w:rFonts w:asciiTheme="minorBidi" w:hAnsiTheme="minorBidi" w:cstheme="minorBidi"/>
        </w:rPr>
      </w:pPr>
      <w:r w:rsidRPr="00D67EDA">
        <w:rPr>
          <w:rFonts w:asciiTheme="minorBidi" w:hAnsiTheme="minorBidi" w:cstheme="minorBidi"/>
          <w:rtl/>
        </w:rPr>
        <w:t>المنهج المقارن</w:t>
      </w:r>
      <w:r w:rsidRPr="00D67EDA">
        <w:rPr>
          <w:rFonts w:asciiTheme="minorBidi" w:hAnsiTheme="minorBidi" w:cstheme="minorBidi"/>
        </w:rPr>
        <w:t xml:space="preserve">: </w:t>
      </w:r>
      <w:r w:rsidRPr="00D67EDA">
        <w:rPr>
          <w:rFonts w:asciiTheme="minorBidi" w:hAnsiTheme="minorBidi" w:cstheme="minorBidi"/>
          <w:rtl/>
        </w:rPr>
        <w:t>من خلال مقارنة النصوص الأردنية مع أحدث التشريعات العربية والدولية للوقوف على أفضل الممارسات القانونية</w:t>
      </w:r>
      <w:r w:rsidRPr="00D67EDA">
        <w:rPr>
          <w:rFonts w:asciiTheme="minorBidi" w:hAnsiTheme="minorBidi" w:cstheme="minorBidi"/>
        </w:rPr>
        <w:t>.</w:t>
      </w:r>
    </w:p>
    <w:p w14:paraId="7934BB5C" w14:textId="77777777" w:rsidR="00D67EDA" w:rsidRPr="00D67EDA" w:rsidRDefault="00D67EDA" w:rsidP="00D67EDA">
      <w:pPr>
        <w:pStyle w:val="NormalWeb"/>
        <w:numPr>
          <w:ilvl w:val="0"/>
          <w:numId w:val="234"/>
        </w:numPr>
        <w:tabs>
          <w:tab w:val="clear" w:pos="720"/>
        </w:tabs>
        <w:bidi/>
        <w:spacing w:before="0" w:beforeAutospacing="0" w:after="0" w:afterAutospacing="0"/>
        <w:ind w:left="424"/>
        <w:jc w:val="lowKashida"/>
        <w:rPr>
          <w:rFonts w:asciiTheme="minorBidi" w:hAnsiTheme="minorBidi" w:cstheme="minorBidi"/>
        </w:rPr>
      </w:pPr>
      <w:r w:rsidRPr="00D67EDA">
        <w:rPr>
          <w:rFonts w:asciiTheme="minorBidi" w:hAnsiTheme="minorBidi" w:cstheme="minorBidi"/>
          <w:rtl/>
        </w:rPr>
        <w:t>المنهج الاستقرائي</w:t>
      </w:r>
      <w:r w:rsidRPr="00D67EDA">
        <w:rPr>
          <w:rFonts w:asciiTheme="minorBidi" w:hAnsiTheme="minorBidi" w:cstheme="minorBidi"/>
        </w:rPr>
        <w:t xml:space="preserve">: </w:t>
      </w:r>
      <w:r w:rsidRPr="00D67EDA">
        <w:rPr>
          <w:rFonts w:asciiTheme="minorBidi" w:hAnsiTheme="minorBidi" w:cstheme="minorBidi"/>
          <w:rtl/>
        </w:rPr>
        <w:t>عبر تتبع بعض التوجهات القضائية (قرارات محكمة التمييز) للوقوف على كيفية تطبيق النصوص الحالية على النزاعات الرقمية</w:t>
      </w:r>
      <w:r w:rsidRPr="00D67EDA">
        <w:rPr>
          <w:rFonts w:asciiTheme="minorBidi" w:hAnsiTheme="minorBidi" w:cstheme="minorBidi"/>
        </w:rPr>
        <w:t>.</w:t>
      </w:r>
    </w:p>
    <w:p w14:paraId="78A5CB2D" w14:textId="77777777" w:rsidR="00D67EDA" w:rsidRDefault="00D67EDA" w:rsidP="00D67EDA">
      <w:pPr>
        <w:pStyle w:val="NormalWeb"/>
        <w:bidi/>
        <w:spacing w:before="0" w:beforeAutospacing="0" w:after="0" w:afterAutospacing="0"/>
        <w:jc w:val="center"/>
        <w:rPr>
          <w:rFonts w:asciiTheme="minorBidi" w:hAnsiTheme="minorBidi" w:cstheme="minorBidi"/>
          <w:b/>
          <w:bCs/>
          <w:rtl/>
          <w:lang w:val="en-GB" w:eastAsia="en-GB"/>
        </w:rPr>
      </w:pPr>
      <w:r w:rsidRPr="00D67EDA">
        <w:rPr>
          <w:rFonts w:asciiTheme="minorBidi" w:hAnsiTheme="minorBidi" w:cstheme="minorBidi"/>
          <w:b/>
          <w:bCs/>
          <w:rtl/>
          <w:lang w:val="en-GB" w:eastAsia="en-GB"/>
        </w:rPr>
        <w:t>المبحث الأول</w:t>
      </w:r>
    </w:p>
    <w:p w14:paraId="0806C816" w14:textId="35F44FCA" w:rsidR="00D67EDA" w:rsidRPr="00D67EDA" w:rsidRDefault="00D67EDA" w:rsidP="00D67EDA">
      <w:pPr>
        <w:pStyle w:val="NormalWeb"/>
        <w:bidi/>
        <w:spacing w:before="0" w:beforeAutospacing="0" w:after="0" w:afterAutospacing="0"/>
        <w:jc w:val="center"/>
        <w:rPr>
          <w:rFonts w:asciiTheme="minorBidi" w:hAnsiTheme="minorBidi" w:cstheme="minorBidi"/>
          <w:b/>
          <w:bCs/>
        </w:rPr>
      </w:pPr>
      <w:r w:rsidRPr="00D67EDA">
        <w:rPr>
          <w:rFonts w:asciiTheme="minorBidi" w:hAnsiTheme="minorBidi" w:cstheme="minorBidi"/>
          <w:b/>
          <w:bCs/>
          <w:rtl/>
          <w:lang w:val="en-GB" w:eastAsia="en-GB"/>
        </w:rPr>
        <w:t>إشكالية التنازع التشريعي بين قانون البينات وقانون المعاملات الإلكترونية</w:t>
      </w:r>
    </w:p>
    <w:p w14:paraId="0736B110" w14:textId="77777777" w:rsidR="00D67EDA" w:rsidRPr="00D67EDA" w:rsidRDefault="00D67EDA" w:rsidP="00D67EDA">
      <w:pPr>
        <w:spacing w:after="0" w:line="240" w:lineRule="auto"/>
        <w:jc w:val="lowKashida"/>
        <w:rPr>
          <w:rFonts w:asciiTheme="minorBidi" w:hAnsiTheme="minorBidi" w:cstheme="minorBidi"/>
          <w:sz w:val="24"/>
          <w:szCs w:val="24"/>
          <w:lang w:val="en-GB" w:eastAsia="en-GB"/>
        </w:rPr>
      </w:pPr>
      <w:r w:rsidRPr="00D67EDA">
        <w:rPr>
          <w:rFonts w:asciiTheme="minorBidi" w:hAnsiTheme="minorBidi" w:cstheme="minorBidi"/>
          <w:sz w:val="24"/>
          <w:szCs w:val="24"/>
          <w:rtl/>
          <w:lang w:val="en-GB" w:eastAsia="en-GB"/>
        </w:rPr>
        <w:t>يواجه المشرع الأردني تحدياً مزدوجاً في تكييف نصوص الإثبات مع الواقع الرقمي المتسارع. فبينما يمثل قانون المعاملات الإلكترونية رقم (15) لسنة 2015 "ثورة تشريعية" تبنت فلسفة التكافؤ الوظيفي، ظل قانون البينات رقم (30) لسنة 1952 متمسكاً بأسس إثبات كلاسيكية. هذا التباين خلق "فجوة إجرائية" تُعد من أخطر معوقات العدالة الناجزة، حيث يجد القاضي نفسه في حيرة بين نصوصٍ تدعو للتحول الرقمي وأخرى تقيده بأدواتٍ مادية</w:t>
      </w:r>
      <w:r w:rsidRPr="00D67EDA">
        <w:rPr>
          <w:rFonts w:asciiTheme="minorBidi" w:hAnsiTheme="minorBidi" w:cstheme="minorBidi"/>
          <w:sz w:val="24"/>
          <w:szCs w:val="24"/>
          <w:lang w:val="en-GB" w:eastAsia="en-GB"/>
        </w:rPr>
        <w:t>.</w:t>
      </w:r>
    </w:p>
    <w:p w14:paraId="583367B6" w14:textId="29DFE6A4" w:rsidR="00D67EDA" w:rsidRPr="00D67EDA" w:rsidRDefault="00D67EDA" w:rsidP="00D67EDA">
      <w:pPr>
        <w:spacing w:after="0" w:line="240" w:lineRule="auto"/>
        <w:jc w:val="lowKashida"/>
        <w:rPr>
          <w:rFonts w:asciiTheme="minorBidi" w:hAnsiTheme="minorBidi" w:cstheme="minorBidi"/>
          <w:sz w:val="24"/>
          <w:szCs w:val="24"/>
          <w:lang w:val="en-GB" w:eastAsia="en-GB"/>
        </w:rPr>
      </w:pPr>
      <w:r w:rsidRPr="00D67EDA">
        <w:rPr>
          <w:rFonts w:asciiTheme="minorBidi" w:hAnsiTheme="minorBidi" w:cstheme="minorBidi"/>
          <w:sz w:val="24"/>
          <w:szCs w:val="24"/>
          <w:rtl/>
          <w:lang w:val="en-GB" w:eastAsia="en-GB"/>
        </w:rPr>
        <w:t>1. التباين الجوهري بين "التكافؤ الوظيفي" و"المستخرج الورقي</w:t>
      </w:r>
      <w:r w:rsidRPr="00D67EDA">
        <w:rPr>
          <w:rFonts w:asciiTheme="minorBidi" w:hAnsiTheme="minorBidi" w:cstheme="minorBidi"/>
          <w:sz w:val="24"/>
          <w:szCs w:val="24"/>
          <w:lang w:val="en-GB" w:eastAsia="en-GB"/>
        </w:rPr>
        <w:t xml:space="preserve">": </w:t>
      </w:r>
      <w:r w:rsidRPr="00D67EDA">
        <w:rPr>
          <w:rFonts w:asciiTheme="minorBidi" w:hAnsiTheme="minorBidi" w:cstheme="minorBidi"/>
          <w:sz w:val="24"/>
          <w:szCs w:val="24"/>
          <w:rtl/>
          <w:lang w:val="en-GB" w:eastAsia="en-GB"/>
        </w:rPr>
        <w:t>تكرس المادة (13) من قانون المعاملات الإلكترونية مبدأ "التكافؤ الوظيفي"، مانحةً للسجل الإلكتروني حجية المحرر الخطي دون اشتراط مادية الورق</w:t>
      </w:r>
      <w:r w:rsidR="004D64B0">
        <w:rPr>
          <w:rStyle w:val="FootnoteReference"/>
          <w:rFonts w:asciiTheme="minorBidi" w:hAnsiTheme="minorBidi" w:cstheme="minorBidi"/>
          <w:sz w:val="24"/>
          <w:szCs w:val="24"/>
          <w:rtl/>
          <w:lang w:val="en-GB" w:eastAsia="en-GB"/>
        </w:rPr>
        <w:t>(</w:t>
      </w:r>
      <w:r w:rsidR="004D64B0" w:rsidRPr="00D67EDA">
        <w:rPr>
          <w:rStyle w:val="FootnoteReference"/>
          <w:rFonts w:asciiTheme="minorBidi" w:hAnsiTheme="minorBidi" w:cstheme="minorBidi"/>
          <w:sz w:val="24"/>
          <w:szCs w:val="24"/>
          <w:rtl/>
          <w:lang w:val="en-GB" w:eastAsia="en-GB"/>
        </w:rPr>
        <w:footnoteReference w:id="3"/>
      </w:r>
      <w:r w:rsidR="004D64B0">
        <w:rPr>
          <w:rStyle w:val="FootnoteReference"/>
          <w:rFonts w:asciiTheme="minorBidi" w:hAnsiTheme="minorBidi" w:cstheme="minorBidi"/>
          <w:sz w:val="24"/>
          <w:szCs w:val="24"/>
          <w:rtl/>
          <w:lang w:val="en-GB" w:eastAsia="en-GB"/>
        </w:rPr>
        <w:t>)</w:t>
      </w:r>
      <w:r w:rsidRPr="00D67EDA">
        <w:rPr>
          <w:rFonts w:asciiTheme="minorBidi" w:hAnsiTheme="minorBidi" w:cstheme="minorBidi"/>
          <w:sz w:val="24"/>
          <w:szCs w:val="24"/>
          <w:rtl/>
          <w:lang w:val="en-GB" w:eastAsia="en-GB"/>
        </w:rPr>
        <w:t>؛ وهو ما يعكس فهماً حديثاً بأن "العبرة في المحتوى لا في الوعاء". ومع ذلك، تظل المادة (47) من قانون البينات تشكل "قيداً هيكلياً"؛ إذ تربط حجية المحرر الحاسوبي بكونه "مستخرجاً ورقياً"</w:t>
      </w:r>
      <w:r w:rsidR="004D64B0">
        <w:rPr>
          <w:rStyle w:val="FootnoteReference"/>
          <w:rFonts w:asciiTheme="minorBidi" w:hAnsiTheme="minorBidi" w:cstheme="minorBidi"/>
          <w:sz w:val="24"/>
          <w:szCs w:val="24"/>
          <w:rtl/>
          <w:lang w:val="en-GB" w:eastAsia="en-GB"/>
        </w:rPr>
        <w:t>(</w:t>
      </w:r>
      <w:r w:rsidR="004D64B0" w:rsidRPr="00D67EDA">
        <w:rPr>
          <w:rStyle w:val="FootnoteReference"/>
          <w:rFonts w:asciiTheme="minorBidi" w:hAnsiTheme="minorBidi" w:cstheme="minorBidi"/>
          <w:sz w:val="24"/>
          <w:szCs w:val="24"/>
          <w:rtl/>
          <w:lang w:val="en-GB" w:eastAsia="en-GB"/>
        </w:rPr>
        <w:footnoteReference w:id="4"/>
      </w:r>
      <w:r w:rsidR="004D64B0">
        <w:rPr>
          <w:rStyle w:val="FootnoteReference"/>
          <w:rFonts w:asciiTheme="minorBidi" w:hAnsiTheme="minorBidi" w:cstheme="minorBidi"/>
          <w:sz w:val="24"/>
          <w:szCs w:val="24"/>
          <w:rtl/>
          <w:lang w:val="en-GB" w:eastAsia="en-GB"/>
        </w:rPr>
        <w:t>)</w:t>
      </w:r>
      <w:r w:rsidRPr="00D67EDA">
        <w:rPr>
          <w:rFonts w:asciiTheme="minorBidi" w:hAnsiTheme="minorBidi" w:cstheme="minorBidi"/>
          <w:sz w:val="24"/>
          <w:szCs w:val="24"/>
          <w:rtl/>
          <w:lang w:val="en-GB" w:eastAsia="en-GB"/>
        </w:rPr>
        <w:t>. إن هذا الربط ليس مجرد إجراء شكلي، بل هو إخلال بطبيعة الدليل الرقمي؛ فملفات السجل</w:t>
      </w:r>
      <w:r w:rsidRPr="00D67EDA">
        <w:rPr>
          <w:rFonts w:asciiTheme="minorBidi" w:hAnsiTheme="minorBidi" w:cstheme="minorBidi"/>
          <w:sz w:val="24"/>
          <w:szCs w:val="24"/>
          <w:lang w:val="en-GB" w:eastAsia="en-GB"/>
        </w:rPr>
        <w:t xml:space="preserve"> (Log Files) </w:t>
      </w:r>
      <w:r w:rsidRPr="00D67EDA">
        <w:rPr>
          <w:rFonts w:asciiTheme="minorBidi" w:hAnsiTheme="minorBidi" w:cstheme="minorBidi"/>
          <w:sz w:val="24"/>
          <w:szCs w:val="24"/>
          <w:rtl/>
          <w:lang w:val="en-GB" w:eastAsia="en-GB"/>
        </w:rPr>
        <w:t>والبيانات الوصفية</w:t>
      </w:r>
      <w:r w:rsidRPr="00D67EDA">
        <w:rPr>
          <w:rFonts w:asciiTheme="minorBidi" w:hAnsiTheme="minorBidi" w:cstheme="minorBidi"/>
          <w:sz w:val="24"/>
          <w:szCs w:val="24"/>
          <w:lang w:val="en-GB" w:eastAsia="en-GB"/>
        </w:rPr>
        <w:t xml:space="preserve"> (Metadata) </w:t>
      </w:r>
      <w:r w:rsidRPr="00D67EDA">
        <w:rPr>
          <w:rFonts w:asciiTheme="minorBidi" w:hAnsiTheme="minorBidi" w:cstheme="minorBidi"/>
          <w:sz w:val="24"/>
          <w:szCs w:val="24"/>
          <w:rtl/>
          <w:lang w:val="en-GB" w:eastAsia="en-GB"/>
        </w:rPr>
        <w:t>تفقد قيمتها الفنية والقانونية إذا حُولت إلى "ورق"، لأن جوهر الحجية في الدليل الرقمي يكمن في "سلامة الخوارزميات" و"سلسلة التخزين"، وليس في كونه مطبوعاً على ورق</w:t>
      </w:r>
      <w:r w:rsidR="004D64B0">
        <w:rPr>
          <w:rStyle w:val="FootnoteReference"/>
          <w:rFonts w:asciiTheme="minorBidi" w:hAnsiTheme="minorBidi" w:cstheme="minorBidi"/>
          <w:sz w:val="24"/>
          <w:szCs w:val="24"/>
          <w:rtl/>
          <w:lang w:val="en-GB" w:eastAsia="en-GB"/>
        </w:rPr>
        <w:t>(</w:t>
      </w:r>
      <w:r w:rsidR="004D64B0" w:rsidRPr="00D67EDA">
        <w:rPr>
          <w:rStyle w:val="FootnoteReference"/>
          <w:rFonts w:asciiTheme="minorBidi" w:hAnsiTheme="minorBidi" w:cstheme="minorBidi"/>
          <w:sz w:val="24"/>
          <w:szCs w:val="24"/>
          <w:rtl/>
          <w:lang w:val="en-GB" w:eastAsia="en-GB"/>
        </w:rPr>
        <w:footnoteReference w:id="5"/>
      </w:r>
      <w:r w:rsidR="004D64B0">
        <w:rPr>
          <w:rStyle w:val="FootnoteReference"/>
          <w:rFonts w:asciiTheme="minorBidi" w:hAnsiTheme="minorBidi" w:cstheme="minorBidi"/>
          <w:sz w:val="24"/>
          <w:szCs w:val="24"/>
          <w:rtl/>
          <w:lang w:val="en-GB" w:eastAsia="en-GB"/>
        </w:rPr>
        <w:t>)</w:t>
      </w:r>
      <w:r w:rsidRPr="00D67EDA">
        <w:rPr>
          <w:rFonts w:asciiTheme="minorBidi" w:hAnsiTheme="minorBidi" w:cstheme="minorBidi"/>
          <w:sz w:val="24"/>
          <w:szCs w:val="24"/>
          <w:rtl/>
          <w:lang w:val="en-GB" w:eastAsia="en-GB"/>
        </w:rPr>
        <w:t>.</w:t>
      </w:r>
    </w:p>
    <w:p w14:paraId="471E9419" w14:textId="06131A22" w:rsidR="00D67EDA" w:rsidRPr="00D67EDA" w:rsidRDefault="00D67EDA" w:rsidP="00D67EDA">
      <w:pPr>
        <w:spacing w:after="0" w:line="240" w:lineRule="auto"/>
        <w:jc w:val="lowKashida"/>
        <w:rPr>
          <w:rFonts w:asciiTheme="minorBidi" w:hAnsiTheme="minorBidi" w:cstheme="minorBidi"/>
          <w:sz w:val="24"/>
          <w:szCs w:val="24"/>
          <w:lang w:val="en-GB" w:eastAsia="en-GB"/>
        </w:rPr>
      </w:pPr>
      <w:r w:rsidRPr="00D67EDA">
        <w:rPr>
          <w:rFonts w:asciiTheme="minorBidi" w:hAnsiTheme="minorBidi" w:cstheme="minorBidi"/>
          <w:sz w:val="24"/>
          <w:szCs w:val="24"/>
          <w:rtl/>
          <w:lang w:val="en-GB" w:eastAsia="en-GB"/>
        </w:rPr>
        <w:t xml:space="preserve">2. </w:t>
      </w:r>
      <w:r w:rsidRPr="00D67EDA">
        <w:rPr>
          <w:rFonts w:asciiTheme="minorBidi" w:hAnsiTheme="minorBidi" w:cstheme="minorBidi"/>
          <w:sz w:val="24"/>
          <w:szCs w:val="24"/>
          <w:lang w:val="en-GB" w:eastAsia="en-GB"/>
        </w:rPr>
        <w:t xml:space="preserve"> </w:t>
      </w:r>
      <w:r w:rsidRPr="00D67EDA">
        <w:rPr>
          <w:rFonts w:asciiTheme="minorBidi" w:hAnsiTheme="minorBidi" w:cstheme="minorBidi"/>
          <w:sz w:val="24"/>
          <w:szCs w:val="24"/>
          <w:rtl/>
          <w:lang w:val="en-GB" w:eastAsia="en-GB"/>
        </w:rPr>
        <w:t>مخاطر "الازدواجية المعيارية" على الأمن القضائي</w:t>
      </w:r>
      <w:r w:rsidRPr="00D67EDA">
        <w:rPr>
          <w:rFonts w:asciiTheme="minorBidi" w:hAnsiTheme="minorBidi" w:cstheme="minorBidi"/>
          <w:sz w:val="24"/>
          <w:szCs w:val="24"/>
          <w:lang w:val="en-GB" w:eastAsia="en-GB"/>
        </w:rPr>
        <w:t xml:space="preserve">: </w:t>
      </w:r>
      <w:r w:rsidRPr="00D67EDA">
        <w:rPr>
          <w:rFonts w:asciiTheme="minorBidi" w:hAnsiTheme="minorBidi" w:cstheme="minorBidi"/>
          <w:sz w:val="24"/>
          <w:szCs w:val="24"/>
          <w:rtl/>
          <w:lang w:val="en-GB" w:eastAsia="en-GB"/>
        </w:rPr>
        <w:t>أدى التنازع بين النص الخاص (المعاملات الإلكترونية) والنص العام (البينات) إلى حالة من "التشتت الإجرائي". ففي النزاعات التجارية المعقدة، أصبح "الدفع بالإنكار" هو الاستراتيجية الأمثل للخصوم لإهدار الأدلة الرقمية، مستغلين عدم وضوح المعايير التقنية التي يلتزم بها القاضي</w:t>
      </w:r>
      <w:r w:rsidR="004D64B0">
        <w:rPr>
          <w:rStyle w:val="FootnoteReference"/>
          <w:rFonts w:asciiTheme="minorBidi" w:hAnsiTheme="minorBidi" w:cstheme="minorBidi"/>
          <w:sz w:val="24"/>
          <w:szCs w:val="24"/>
          <w:rtl/>
          <w:lang w:val="en-GB" w:eastAsia="en-GB"/>
        </w:rPr>
        <w:t>(</w:t>
      </w:r>
      <w:r w:rsidR="004D64B0" w:rsidRPr="00D67EDA">
        <w:rPr>
          <w:rStyle w:val="FootnoteReference"/>
          <w:rFonts w:asciiTheme="minorBidi" w:hAnsiTheme="minorBidi" w:cstheme="minorBidi"/>
          <w:sz w:val="24"/>
          <w:szCs w:val="24"/>
          <w:rtl/>
          <w:lang w:val="en-GB" w:eastAsia="en-GB"/>
        </w:rPr>
        <w:footnoteReference w:id="6"/>
      </w:r>
      <w:r w:rsidR="004D64B0">
        <w:rPr>
          <w:rStyle w:val="FootnoteReference"/>
          <w:rFonts w:asciiTheme="minorBidi" w:hAnsiTheme="minorBidi" w:cstheme="minorBidi"/>
          <w:sz w:val="24"/>
          <w:szCs w:val="24"/>
          <w:rtl/>
          <w:lang w:val="en-GB" w:eastAsia="en-GB"/>
        </w:rPr>
        <w:t>)</w:t>
      </w:r>
      <w:r w:rsidRPr="00D67EDA">
        <w:rPr>
          <w:rFonts w:asciiTheme="minorBidi" w:hAnsiTheme="minorBidi" w:cstheme="minorBidi"/>
          <w:sz w:val="24"/>
          <w:szCs w:val="24"/>
          <w:rtl/>
          <w:lang w:val="en-GB" w:eastAsia="en-GB"/>
        </w:rPr>
        <w:t>. هذا التشتت يدفع القاضي المدني في كثير من الحالات إلى استبعاد أدلة رقمية قاطعة لمجرد عجزها عن تلبية "الشكل الورقي"، مما يؤدي إلى</w:t>
      </w:r>
      <w:r w:rsidRPr="00D67EDA">
        <w:rPr>
          <w:rFonts w:asciiTheme="minorBidi" w:hAnsiTheme="minorBidi" w:cstheme="minorBidi"/>
          <w:sz w:val="24"/>
          <w:szCs w:val="24"/>
          <w:lang w:val="en-GB" w:eastAsia="en-GB"/>
        </w:rPr>
        <w:t>:</w:t>
      </w:r>
    </w:p>
    <w:p w14:paraId="7B245AE5" w14:textId="77777777" w:rsidR="00D67EDA" w:rsidRPr="00D67EDA" w:rsidRDefault="00D67EDA" w:rsidP="00D67EDA">
      <w:pPr>
        <w:numPr>
          <w:ilvl w:val="0"/>
          <w:numId w:val="260"/>
        </w:numPr>
        <w:spacing w:after="0" w:line="240" w:lineRule="auto"/>
        <w:jc w:val="lowKashida"/>
        <w:rPr>
          <w:rFonts w:asciiTheme="minorBidi" w:hAnsiTheme="minorBidi" w:cstheme="minorBidi"/>
          <w:sz w:val="24"/>
          <w:szCs w:val="24"/>
          <w:lang w:val="en-GB" w:eastAsia="en-GB"/>
        </w:rPr>
      </w:pPr>
      <w:r w:rsidRPr="00D67EDA">
        <w:rPr>
          <w:rFonts w:asciiTheme="minorBidi" w:hAnsiTheme="minorBidi" w:cstheme="minorBidi"/>
          <w:sz w:val="24"/>
          <w:szCs w:val="24"/>
          <w:rtl/>
          <w:lang w:val="en-GB" w:eastAsia="en-GB"/>
        </w:rPr>
        <w:lastRenderedPageBreak/>
        <w:t>إهدار الأدلة</w:t>
      </w:r>
      <w:r w:rsidRPr="00D67EDA">
        <w:rPr>
          <w:rFonts w:asciiTheme="minorBidi" w:hAnsiTheme="minorBidi" w:cstheme="minorBidi"/>
          <w:sz w:val="24"/>
          <w:szCs w:val="24"/>
          <w:lang w:val="en-GB" w:eastAsia="en-GB"/>
        </w:rPr>
        <w:t xml:space="preserve">: </w:t>
      </w:r>
      <w:r w:rsidRPr="00D67EDA">
        <w:rPr>
          <w:rFonts w:asciiTheme="minorBidi" w:hAnsiTheme="minorBidi" w:cstheme="minorBidi"/>
          <w:sz w:val="24"/>
          <w:szCs w:val="24"/>
          <w:rtl/>
          <w:lang w:val="en-GB" w:eastAsia="en-GB"/>
        </w:rPr>
        <w:t>ضياع حقوق جوهرية بسبب قصور المسطرة القانونية</w:t>
      </w:r>
      <w:r w:rsidRPr="00D67EDA">
        <w:rPr>
          <w:rFonts w:asciiTheme="minorBidi" w:hAnsiTheme="minorBidi" w:cstheme="minorBidi"/>
          <w:sz w:val="24"/>
          <w:szCs w:val="24"/>
          <w:lang w:val="en-GB" w:eastAsia="en-GB"/>
        </w:rPr>
        <w:t>.</w:t>
      </w:r>
    </w:p>
    <w:p w14:paraId="3CBFFEE6" w14:textId="67180AB0" w:rsidR="00D67EDA" w:rsidRPr="00D67EDA" w:rsidRDefault="00D67EDA" w:rsidP="00D67EDA">
      <w:pPr>
        <w:numPr>
          <w:ilvl w:val="0"/>
          <w:numId w:val="260"/>
        </w:numPr>
        <w:spacing w:after="0" w:line="240" w:lineRule="auto"/>
        <w:jc w:val="lowKashida"/>
        <w:rPr>
          <w:rFonts w:asciiTheme="minorBidi" w:hAnsiTheme="minorBidi" w:cstheme="minorBidi"/>
          <w:sz w:val="24"/>
          <w:szCs w:val="24"/>
          <w:lang w:val="en-GB" w:eastAsia="en-GB"/>
        </w:rPr>
      </w:pPr>
      <w:r w:rsidRPr="00D67EDA">
        <w:rPr>
          <w:rFonts w:asciiTheme="minorBidi" w:hAnsiTheme="minorBidi" w:cstheme="minorBidi"/>
          <w:sz w:val="24"/>
          <w:szCs w:val="24"/>
          <w:rtl/>
          <w:lang w:val="en-GB" w:eastAsia="en-GB"/>
        </w:rPr>
        <w:t>تضخم الاعتماد على الخبرة</w:t>
      </w:r>
      <w:r w:rsidRPr="00D67EDA">
        <w:rPr>
          <w:rFonts w:asciiTheme="minorBidi" w:hAnsiTheme="minorBidi" w:cstheme="minorBidi"/>
          <w:sz w:val="24"/>
          <w:szCs w:val="24"/>
          <w:lang w:val="en-GB" w:eastAsia="en-GB"/>
        </w:rPr>
        <w:t xml:space="preserve">: </w:t>
      </w:r>
      <w:r w:rsidRPr="00D67EDA">
        <w:rPr>
          <w:rFonts w:asciiTheme="minorBidi" w:hAnsiTheme="minorBidi" w:cstheme="minorBidi"/>
          <w:sz w:val="24"/>
          <w:szCs w:val="24"/>
          <w:rtl/>
          <w:lang w:val="en-GB" w:eastAsia="en-GB"/>
        </w:rPr>
        <w:t>اضطرار القاضي لندب خبراء في كل قضية إلكترونية، مما يطيل أمد النزاع ويرفع تكاليف التقاضي، وهو ما يتناقض مع متطلبات بيئة الأعمال الحديثة</w:t>
      </w:r>
      <w:r w:rsidR="004D64B0">
        <w:rPr>
          <w:rStyle w:val="FootnoteReference"/>
          <w:rFonts w:asciiTheme="minorBidi" w:hAnsiTheme="minorBidi" w:cstheme="minorBidi"/>
          <w:sz w:val="24"/>
          <w:szCs w:val="24"/>
          <w:rtl/>
          <w:lang w:val="en-GB" w:eastAsia="en-GB"/>
        </w:rPr>
        <w:t>(</w:t>
      </w:r>
      <w:r w:rsidR="004D64B0" w:rsidRPr="00D67EDA">
        <w:rPr>
          <w:rStyle w:val="FootnoteReference"/>
          <w:rFonts w:asciiTheme="minorBidi" w:hAnsiTheme="minorBidi" w:cstheme="minorBidi"/>
          <w:sz w:val="24"/>
          <w:szCs w:val="24"/>
          <w:rtl/>
          <w:lang w:val="en-GB" w:eastAsia="en-GB"/>
        </w:rPr>
        <w:footnoteReference w:id="7"/>
      </w:r>
      <w:r w:rsidR="004D64B0">
        <w:rPr>
          <w:rStyle w:val="FootnoteReference"/>
          <w:rFonts w:asciiTheme="minorBidi" w:hAnsiTheme="minorBidi" w:cstheme="minorBidi"/>
          <w:sz w:val="24"/>
          <w:szCs w:val="24"/>
          <w:rtl/>
          <w:lang w:val="en-GB" w:eastAsia="en-GB"/>
        </w:rPr>
        <w:t>)</w:t>
      </w:r>
      <w:r w:rsidRPr="00D67EDA">
        <w:rPr>
          <w:rFonts w:asciiTheme="minorBidi" w:hAnsiTheme="minorBidi" w:cstheme="minorBidi"/>
          <w:sz w:val="24"/>
          <w:szCs w:val="24"/>
          <w:lang w:val="en-GB" w:eastAsia="en-GB"/>
        </w:rPr>
        <w:t>.</w:t>
      </w:r>
    </w:p>
    <w:p w14:paraId="2CA29333" w14:textId="77777777" w:rsidR="00D67EDA" w:rsidRPr="00D67EDA" w:rsidRDefault="00D67EDA" w:rsidP="00D67EDA">
      <w:pPr>
        <w:pStyle w:val="ListParagraph"/>
        <w:numPr>
          <w:ilvl w:val="0"/>
          <w:numId w:val="233"/>
        </w:numPr>
        <w:tabs>
          <w:tab w:val="clear" w:pos="720"/>
          <w:tab w:val="right" w:pos="450"/>
        </w:tabs>
        <w:spacing w:after="0" w:line="240" w:lineRule="auto"/>
        <w:ind w:hanging="630"/>
        <w:jc w:val="lowKashida"/>
        <w:rPr>
          <w:rFonts w:asciiTheme="minorBidi" w:eastAsia="Times New Roman" w:hAnsiTheme="minorBidi"/>
          <w:sz w:val="24"/>
          <w:szCs w:val="24"/>
          <w:lang w:val="en-GB" w:eastAsia="en-GB"/>
        </w:rPr>
      </w:pPr>
      <w:r w:rsidRPr="00D67EDA">
        <w:rPr>
          <w:rFonts w:asciiTheme="minorBidi" w:eastAsia="Times New Roman" w:hAnsiTheme="minorBidi"/>
          <w:sz w:val="24"/>
          <w:szCs w:val="24"/>
          <w:rtl/>
          <w:lang w:val="en-GB" w:eastAsia="en-GB"/>
        </w:rPr>
        <w:t>إشكالية "الأصل الرقمي" في مواجهة القواعد الكلاسيكية</w:t>
      </w:r>
      <w:r w:rsidRPr="00D67EDA">
        <w:rPr>
          <w:rFonts w:asciiTheme="minorBidi" w:eastAsia="Times New Roman" w:hAnsiTheme="minorBidi"/>
          <w:sz w:val="24"/>
          <w:szCs w:val="24"/>
          <w:lang w:val="en-GB" w:eastAsia="en-GB"/>
        </w:rPr>
        <w:t xml:space="preserve">: </w:t>
      </w:r>
      <w:r w:rsidRPr="00D67EDA">
        <w:rPr>
          <w:rFonts w:asciiTheme="minorBidi" w:eastAsia="Times New Roman" w:hAnsiTheme="minorBidi"/>
          <w:sz w:val="24"/>
          <w:szCs w:val="24"/>
          <w:rtl/>
          <w:lang w:val="en-GB" w:eastAsia="en-GB"/>
        </w:rPr>
        <w:t>تفرض القواعد الكلاسيكية (المواد 20 وما بعدها من قانون البينات) ضرورة إبراز "أصل السند". وفي العالم الرقمي، لا يوجد مفهوم "الأصل والنسخة" بمفهومه المادي؛ فكل نسخة رقمية هي مطابقة تماماً للملف الأصلي</w:t>
      </w:r>
      <w:r w:rsidRPr="00D67EDA">
        <w:rPr>
          <w:rFonts w:asciiTheme="minorBidi" w:eastAsia="Times New Roman" w:hAnsiTheme="minorBidi"/>
          <w:sz w:val="24"/>
          <w:szCs w:val="24"/>
          <w:lang w:val="en-GB" w:eastAsia="en-GB"/>
        </w:rPr>
        <w:t xml:space="preserve"> (Bit-for-Bit Copy). </w:t>
      </w:r>
      <w:r w:rsidRPr="00D67EDA">
        <w:rPr>
          <w:rFonts w:asciiTheme="minorBidi" w:eastAsia="Times New Roman" w:hAnsiTheme="minorBidi"/>
          <w:sz w:val="24"/>
          <w:szCs w:val="24"/>
          <w:rtl/>
          <w:lang w:val="en-GB" w:eastAsia="en-GB"/>
        </w:rPr>
        <w:t>إن إصرار القانون على مفهوم "الأصل" الورقي في ظل الأدلة الرقمية يمثل "عجزاً إجرائياً" يجعل القاضي في حيرة بين تطبيق نص القانون (الذي يتطلب أصلاً مادياً) وبين الواقع التقني (الذي يفتقر لمثل هذا الأصل)، مما يفتح باباً واسعاً للطعن في صحة الأدلة الرقمية وسلامتها</w:t>
      </w:r>
      <w:r w:rsidRPr="00D67EDA">
        <w:rPr>
          <w:rFonts w:asciiTheme="minorBidi" w:eastAsia="Times New Roman" w:hAnsiTheme="minorBidi"/>
          <w:sz w:val="24"/>
          <w:szCs w:val="24"/>
          <w:lang w:val="en-GB" w:eastAsia="en-GB"/>
        </w:rPr>
        <w:t>.</w:t>
      </w:r>
    </w:p>
    <w:p w14:paraId="73F5D69A" w14:textId="6956213E" w:rsidR="00D67EDA" w:rsidRPr="00D67EDA" w:rsidRDefault="00D67EDA" w:rsidP="00D67EDA">
      <w:pPr>
        <w:pStyle w:val="NormalWeb"/>
        <w:bidi/>
        <w:spacing w:before="0" w:beforeAutospacing="0" w:after="0" w:afterAutospacing="0"/>
        <w:ind w:left="-90"/>
        <w:jc w:val="lowKashida"/>
        <w:rPr>
          <w:rFonts w:asciiTheme="minorBidi" w:hAnsiTheme="minorBidi" w:cstheme="minorBidi"/>
          <w:b/>
          <w:bCs/>
          <w:rtl/>
        </w:rPr>
      </w:pPr>
      <w:r w:rsidRPr="00D67EDA">
        <w:rPr>
          <w:rFonts w:asciiTheme="minorBidi" w:hAnsiTheme="minorBidi" w:cstheme="minorBidi"/>
          <w:rtl/>
        </w:rPr>
        <w:t>وفي هذا السياق، يظهر توجه محكمة التمييز الأردنية نحو التشدد في قبول الأدلة الرقمية غير الموثقة؛ إذ أكدت في قرارها رقم</w:t>
      </w:r>
      <w:r w:rsidRPr="00D67EDA">
        <w:rPr>
          <w:rFonts w:asciiTheme="minorBidi" w:hAnsiTheme="minorBidi" w:cstheme="minorBidi"/>
        </w:rPr>
        <w:t xml:space="preserve"> (</w:t>
      </w:r>
      <w:r w:rsidRPr="00D67EDA">
        <w:rPr>
          <w:rFonts w:asciiTheme="minorBidi" w:hAnsiTheme="minorBidi" w:cstheme="minorBidi"/>
          <w:b/>
          <w:bCs/>
        </w:rPr>
        <w:t>2458/2022</w:t>
      </w:r>
      <w:r w:rsidRPr="00D67EDA">
        <w:rPr>
          <w:rFonts w:asciiTheme="minorBidi" w:hAnsiTheme="minorBidi" w:cstheme="minorBidi"/>
        </w:rPr>
        <w:t xml:space="preserve"> </w:t>
      </w:r>
      <w:r w:rsidRPr="00D67EDA">
        <w:rPr>
          <w:rFonts w:asciiTheme="minorBidi" w:hAnsiTheme="minorBidi" w:cstheme="minorBidi"/>
          <w:rtl/>
        </w:rPr>
        <w:t>حقوق تمييز) على أن: 'المستخرجات الحاسوبية لا تكتسب قوتها في الإثبات إلا إذا توافرت فيها شروط المادة (47) من قانون البينات، وبما يضمن سلامة الدليل من أي عبث</w:t>
      </w:r>
      <w:r w:rsidR="004D64B0">
        <w:rPr>
          <w:rStyle w:val="FootnoteReference"/>
          <w:rFonts w:asciiTheme="minorBidi" w:hAnsiTheme="minorBidi" w:cstheme="minorBidi"/>
          <w:rtl/>
        </w:rPr>
        <w:t>(</w:t>
      </w:r>
      <w:r w:rsidR="004D64B0" w:rsidRPr="00D67EDA">
        <w:rPr>
          <w:rStyle w:val="FootnoteReference"/>
          <w:rFonts w:asciiTheme="minorBidi" w:hAnsiTheme="minorBidi" w:cstheme="minorBidi"/>
          <w:rtl/>
        </w:rPr>
        <w:footnoteReference w:id="8"/>
      </w:r>
      <w:r w:rsidR="004D64B0">
        <w:rPr>
          <w:rStyle w:val="FootnoteReference"/>
          <w:rFonts w:asciiTheme="minorBidi" w:hAnsiTheme="minorBidi" w:cstheme="minorBidi"/>
          <w:rtl/>
        </w:rPr>
        <w:t>)</w:t>
      </w:r>
      <w:r w:rsidRPr="00D67EDA">
        <w:rPr>
          <w:rFonts w:asciiTheme="minorBidi" w:hAnsiTheme="minorBidi" w:cstheme="minorBidi"/>
          <w:rtl/>
        </w:rPr>
        <w:t xml:space="preserve">. وبالرغم من هذا التوجه، فقد اتخذت المحكمة مساراً أكثر مرونة في قرارات حديثة (مثل قرار تمييز حقوق رقم </w:t>
      </w:r>
      <w:r w:rsidRPr="00D67EDA">
        <w:rPr>
          <w:rFonts w:asciiTheme="minorBidi" w:hAnsiTheme="minorBidi" w:cstheme="minorBidi"/>
          <w:b/>
          <w:bCs/>
        </w:rPr>
        <w:t>1105/2023</w:t>
      </w:r>
      <w:r w:rsidRPr="00D67EDA">
        <w:rPr>
          <w:rFonts w:asciiTheme="minorBidi" w:hAnsiTheme="minorBidi" w:cstheme="minorBidi"/>
        </w:rPr>
        <w:t>)</w:t>
      </w:r>
      <w:r w:rsidRPr="00D67EDA">
        <w:rPr>
          <w:rFonts w:asciiTheme="minorBidi" w:hAnsiTheme="minorBidi" w:cstheme="minorBidi"/>
          <w:rtl/>
        </w:rPr>
        <w:t>، حيث بدأت بالإقرار بحجية المحادثات الرقمية إذا اقترنت بقرائن أخرى تدعم صحتها. هذا التذبذب القضائي يعزز فرضية بحثنا بضرورة وجود معايير إجرائية موحدة بدلاً من الاعتماد على اجتهادات قد تتغير بتغير الهيئة القضائية</w:t>
      </w:r>
      <w:r w:rsidRPr="00D67EDA">
        <w:rPr>
          <w:rFonts w:asciiTheme="minorBidi" w:hAnsiTheme="minorBidi" w:cstheme="minorBidi"/>
        </w:rPr>
        <w:t>."</w:t>
      </w:r>
    </w:p>
    <w:p w14:paraId="1B789E63" w14:textId="77777777" w:rsidR="00D67EDA" w:rsidRDefault="00D67EDA" w:rsidP="00D67EDA">
      <w:pPr>
        <w:pStyle w:val="NormalWeb"/>
        <w:bidi/>
        <w:spacing w:before="0" w:beforeAutospacing="0" w:after="0" w:afterAutospacing="0"/>
        <w:ind w:left="-90"/>
        <w:jc w:val="center"/>
        <w:rPr>
          <w:rFonts w:asciiTheme="minorBidi" w:hAnsiTheme="minorBidi" w:cstheme="minorBidi"/>
          <w:b/>
          <w:bCs/>
          <w:rtl/>
        </w:rPr>
      </w:pPr>
      <w:r w:rsidRPr="00D67EDA">
        <w:rPr>
          <w:rFonts w:asciiTheme="minorBidi" w:hAnsiTheme="minorBidi" w:cstheme="minorBidi"/>
          <w:b/>
          <w:bCs/>
          <w:rtl/>
        </w:rPr>
        <w:t>المبحث الثاني</w:t>
      </w:r>
    </w:p>
    <w:p w14:paraId="3936D24C" w14:textId="23DAC9B3" w:rsidR="00D67EDA" w:rsidRPr="00D67EDA" w:rsidRDefault="00D67EDA" w:rsidP="00D67EDA">
      <w:pPr>
        <w:pStyle w:val="NormalWeb"/>
        <w:bidi/>
        <w:spacing w:before="0" w:beforeAutospacing="0" w:after="0" w:afterAutospacing="0"/>
        <w:ind w:left="-90"/>
        <w:jc w:val="center"/>
        <w:rPr>
          <w:rFonts w:asciiTheme="minorBidi" w:hAnsiTheme="minorBidi" w:cstheme="minorBidi"/>
          <w:b/>
          <w:bCs/>
        </w:rPr>
      </w:pPr>
      <w:r w:rsidRPr="00D67EDA">
        <w:rPr>
          <w:rFonts w:asciiTheme="minorBidi" w:hAnsiTheme="minorBidi" w:cstheme="minorBidi"/>
          <w:b/>
          <w:bCs/>
          <w:rtl/>
        </w:rPr>
        <w:t>التحديات الإجرائية والموضوعية في حجية الدليل الرقمي</w:t>
      </w:r>
    </w:p>
    <w:p w14:paraId="072E8D4C"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tl/>
        </w:rPr>
      </w:pPr>
      <w:r w:rsidRPr="00D67EDA">
        <w:rPr>
          <w:rFonts w:asciiTheme="minorBidi" w:hAnsiTheme="minorBidi" w:cstheme="minorBidi"/>
          <w:rtl/>
        </w:rPr>
        <w:t>يعد هذا المبحث تحليلاً معمقاً لمدى استجابة نصوص قانون البينات الأردني للواقع الرقمي، مع التركيز على القيود التي تفرضها النصوص الحالية على سلطة القاضي وعلى طبيعة الدليل ذاته</w:t>
      </w:r>
      <w:r w:rsidRPr="00D67EDA">
        <w:rPr>
          <w:rFonts w:asciiTheme="minorBidi" w:hAnsiTheme="minorBidi" w:cstheme="minorBidi"/>
        </w:rPr>
        <w:t>.</w:t>
      </w:r>
    </w:p>
    <w:p w14:paraId="1FEF4E5D"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قراءة تحليلية للمادة (47) - إشكالية الاعتراف والشمولية</w:t>
      </w:r>
    </w:p>
    <w:p w14:paraId="3A9E10A4"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تعتبر المادة (47) من قانون البينات الأردني المحاولة التشريعية الأبرز لاستيعاب مخرجات التكنولوجيا، إلا أن صياغتها تثير جملة من التساؤلات القانونية</w:t>
      </w:r>
      <w:r w:rsidRPr="00D67EDA">
        <w:rPr>
          <w:rFonts w:asciiTheme="minorBidi" w:hAnsiTheme="minorBidi" w:cstheme="minorBidi"/>
        </w:rPr>
        <w:t>.</w:t>
      </w:r>
    </w:p>
    <w:p w14:paraId="5CF128A9" w14:textId="77777777" w:rsidR="00D67EDA" w:rsidRPr="00D67EDA" w:rsidRDefault="00D67EDA" w:rsidP="00D67EDA">
      <w:pPr>
        <w:pStyle w:val="Heading3"/>
        <w:spacing w:before="0"/>
        <w:jc w:val="lowKashida"/>
        <w:rPr>
          <w:rFonts w:asciiTheme="minorBidi" w:hAnsiTheme="minorBidi" w:cstheme="minorBidi"/>
          <w:b/>
          <w:bCs w:val="0"/>
          <w:szCs w:val="24"/>
        </w:rPr>
      </w:pPr>
      <w:r w:rsidRPr="00D67EDA">
        <w:rPr>
          <w:rFonts w:asciiTheme="minorBidi" w:hAnsiTheme="minorBidi" w:cstheme="minorBidi"/>
          <w:bCs w:val="0"/>
          <w:szCs w:val="24"/>
          <w:rtl/>
        </w:rPr>
        <w:t>أولاً: نص المادة ومحدودية النطاق</w:t>
      </w:r>
    </w:p>
    <w:p w14:paraId="2AB1C75E"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تنص المادة (47) على أن المستخرجات الحاسوبية أو الرسائل الإلكترونية وما في حكمها يكون لها حجية في الإثبات إذا استوفت شروطاً معينة</w:t>
      </w:r>
      <w:r w:rsidRPr="00D67EDA">
        <w:rPr>
          <w:rFonts w:asciiTheme="minorBidi" w:hAnsiTheme="minorBidi" w:cstheme="minorBidi"/>
        </w:rPr>
        <w:t>.</w:t>
      </w:r>
    </w:p>
    <w:p w14:paraId="013A312D" w14:textId="77777777" w:rsidR="00D67EDA" w:rsidRPr="00D67EDA" w:rsidRDefault="00D67EDA" w:rsidP="00D67EDA">
      <w:pPr>
        <w:pStyle w:val="NormalWeb"/>
        <w:numPr>
          <w:ilvl w:val="0"/>
          <w:numId w:val="235"/>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النقد التحليلي</w:t>
      </w:r>
      <w:r w:rsidRPr="00D67EDA">
        <w:rPr>
          <w:rFonts w:asciiTheme="minorBidi" w:hAnsiTheme="minorBidi" w:cstheme="minorBidi"/>
        </w:rPr>
        <w:t xml:space="preserve">: </w:t>
      </w:r>
      <w:r w:rsidRPr="00D67EDA">
        <w:rPr>
          <w:rFonts w:asciiTheme="minorBidi" w:hAnsiTheme="minorBidi" w:cstheme="minorBidi"/>
          <w:rtl/>
        </w:rPr>
        <w:t>النص يستخدم مصطلح "المستخرجات"، وهو مصطلح يميل صراحة إلى "الورقية" (أي ما يتم طباعته من الحاسوب). هذا التوجه يفرغ الدليل الرقمي من طبيعته، إذ يظل القضاء الأردني في كثير من أحكامه ينظر إلى "الورقة المطبوعة" وليس إلى "الملف الرقمي" بحد ذاته وما يحمله من بيانات وصفية</w:t>
      </w:r>
      <w:r w:rsidRPr="00D67EDA">
        <w:rPr>
          <w:rFonts w:asciiTheme="minorBidi" w:hAnsiTheme="minorBidi" w:cstheme="minorBidi"/>
        </w:rPr>
        <w:t xml:space="preserve"> (Metadata) </w:t>
      </w:r>
      <w:r w:rsidRPr="00D67EDA">
        <w:rPr>
          <w:rFonts w:asciiTheme="minorBidi" w:hAnsiTheme="minorBidi" w:cstheme="minorBidi"/>
          <w:rtl/>
        </w:rPr>
        <w:t>هي الأهم في كشف الحقيقة</w:t>
      </w:r>
      <w:r w:rsidRPr="00D67EDA">
        <w:rPr>
          <w:rFonts w:asciiTheme="minorBidi" w:hAnsiTheme="minorBidi" w:cstheme="minorBidi"/>
        </w:rPr>
        <w:t>.</w:t>
      </w:r>
    </w:p>
    <w:p w14:paraId="307D3E86" w14:textId="77777777" w:rsidR="00D67EDA" w:rsidRPr="00D67EDA" w:rsidRDefault="00D67EDA" w:rsidP="00D67EDA">
      <w:pPr>
        <w:pStyle w:val="Heading3"/>
        <w:spacing w:before="0"/>
        <w:jc w:val="lowKashida"/>
        <w:rPr>
          <w:rFonts w:asciiTheme="minorBidi" w:hAnsiTheme="minorBidi" w:cstheme="minorBidi"/>
          <w:b/>
          <w:bCs w:val="0"/>
          <w:szCs w:val="24"/>
        </w:rPr>
      </w:pPr>
      <w:r w:rsidRPr="00D67EDA">
        <w:rPr>
          <w:rFonts w:asciiTheme="minorBidi" w:hAnsiTheme="minorBidi" w:cstheme="minorBidi"/>
          <w:bCs w:val="0"/>
          <w:szCs w:val="24"/>
          <w:rtl/>
        </w:rPr>
        <w:t>ثانياً: شروط الصحة والسلامة (الموثوقية)</w:t>
      </w:r>
    </w:p>
    <w:p w14:paraId="4FD476D8"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ترهن المادة (47) الحجية بسلامة النظام الذي استخرجت منه البينة</w:t>
      </w:r>
      <w:r w:rsidRPr="00D67EDA">
        <w:rPr>
          <w:rFonts w:asciiTheme="minorBidi" w:hAnsiTheme="minorBidi" w:cstheme="minorBidi"/>
        </w:rPr>
        <w:t>.</w:t>
      </w:r>
    </w:p>
    <w:p w14:paraId="24E00B7C" w14:textId="02E95CB7" w:rsidR="00D67EDA" w:rsidRPr="00D67EDA" w:rsidRDefault="00D67EDA" w:rsidP="00D67EDA">
      <w:pPr>
        <w:pStyle w:val="NormalWeb"/>
        <w:numPr>
          <w:ilvl w:val="0"/>
          <w:numId w:val="236"/>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التحدي الرقمي</w:t>
      </w:r>
      <w:r w:rsidRPr="00D67EDA">
        <w:rPr>
          <w:rFonts w:asciiTheme="minorBidi" w:hAnsiTheme="minorBidi" w:cstheme="minorBidi"/>
        </w:rPr>
        <w:t xml:space="preserve">: </w:t>
      </w:r>
      <w:r w:rsidRPr="00D67EDA">
        <w:rPr>
          <w:rFonts w:asciiTheme="minorBidi" w:hAnsiTheme="minorBidi" w:cstheme="minorBidi"/>
          <w:rtl/>
        </w:rPr>
        <w:t>في ظل تقنيات الذكاء الاصطناعي</w:t>
      </w:r>
      <w:r w:rsidRPr="00D67EDA">
        <w:rPr>
          <w:rFonts w:asciiTheme="minorBidi" w:hAnsiTheme="minorBidi" w:cstheme="minorBidi"/>
        </w:rPr>
        <w:t xml:space="preserve"> (Deepfake) </w:t>
      </w:r>
      <w:r w:rsidRPr="00D67EDA">
        <w:rPr>
          <w:rFonts w:asciiTheme="minorBidi" w:hAnsiTheme="minorBidi" w:cstheme="minorBidi"/>
          <w:rtl/>
        </w:rPr>
        <w:t>والقدرة على تزيير المراسلات الإلكترونية بدقة عالية، أصبح شرط "سلامة النظام" شرطاً معقداً يتجاوز علم القاضي القانوني</w:t>
      </w:r>
      <w:r w:rsidR="004D64B0">
        <w:rPr>
          <w:rStyle w:val="FootnoteReference"/>
          <w:rFonts w:asciiTheme="minorBidi" w:hAnsiTheme="minorBidi" w:cstheme="minorBidi"/>
          <w:rtl/>
        </w:rPr>
        <w:t>(</w:t>
      </w:r>
      <w:r w:rsidR="004D64B0" w:rsidRPr="00D67EDA">
        <w:rPr>
          <w:rStyle w:val="FootnoteReference"/>
          <w:rFonts w:asciiTheme="minorBidi" w:hAnsiTheme="minorBidi" w:cstheme="minorBidi"/>
          <w:rtl/>
        </w:rPr>
        <w:footnoteReference w:id="9"/>
      </w:r>
      <w:r w:rsidR="004D64B0">
        <w:rPr>
          <w:rStyle w:val="FootnoteReference"/>
          <w:rFonts w:asciiTheme="minorBidi" w:hAnsiTheme="minorBidi" w:cstheme="minorBidi"/>
          <w:rtl/>
        </w:rPr>
        <w:t>)</w:t>
      </w:r>
      <w:r w:rsidRPr="00D67EDA">
        <w:rPr>
          <w:rFonts w:asciiTheme="minorBidi" w:hAnsiTheme="minorBidi" w:cstheme="minorBidi"/>
          <w:rtl/>
        </w:rPr>
        <w:t>. إن القانون الأردني لم يحدد معايير فنية واضحة لاعتبار النظام "آمناً"، مما يترك الأمر لتقدير الخبراء الذين قد يفتقر بعضهم للمؤهلات التقنية الحديثة</w:t>
      </w:r>
      <w:r w:rsidRPr="00D67EDA">
        <w:rPr>
          <w:rFonts w:asciiTheme="minorBidi" w:hAnsiTheme="minorBidi" w:cstheme="minorBidi"/>
        </w:rPr>
        <w:t>.</w:t>
      </w:r>
    </w:p>
    <w:p w14:paraId="42254919" w14:textId="77777777" w:rsidR="00D67EDA" w:rsidRPr="00D67EDA" w:rsidRDefault="00D67EDA" w:rsidP="00D67EDA">
      <w:pPr>
        <w:pStyle w:val="NormalWeb"/>
        <w:bidi/>
        <w:spacing w:before="0" w:beforeAutospacing="0" w:after="0" w:afterAutospacing="0"/>
        <w:ind w:left="-90"/>
        <w:jc w:val="lowKashida"/>
        <w:rPr>
          <w:rFonts w:asciiTheme="minorBidi" w:hAnsiTheme="minorBidi" w:cstheme="minorBidi"/>
          <w:b/>
          <w:bCs/>
        </w:rPr>
      </w:pPr>
      <w:r w:rsidRPr="00D67EDA">
        <w:rPr>
          <w:rFonts w:asciiTheme="minorBidi" w:hAnsiTheme="minorBidi" w:cstheme="minorBidi"/>
          <w:b/>
          <w:bCs/>
          <w:rtl/>
        </w:rPr>
        <w:t>المادة (52) وسلطة القاضي التقديرية (بين الجمود والمرونة)</w:t>
      </w:r>
    </w:p>
    <w:p w14:paraId="2B720EA3"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tl/>
        </w:rPr>
      </w:pPr>
      <w:r w:rsidRPr="00D67EDA">
        <w:rPr>
          <w:rFonts w:asciiTheme="minorBidi" w:hAnsiTheme="minorBidi" w:cstheme="minorBidi"/>
          <w:rtl/>
        </w:rPr>
        <w:t>تتعلق المادة (52) بكيفية تقدير القاضي لوسائل الإثبات، وهنا تبرز إشكالية "العدالة الرقمية</w:t>
      </w:r>
      <w:r w:rsidRPr="00D67EDA">
        <w:rPr>
          <w:rFonts w:asciiTheme="minorBidi" w:hAnsiTheme="minorBidi" w:cstheme="minorBidi"/>
        </w:rPr>
        <w:t>".</w:t>
      </w:r>
    </w:p>
    <w:p w14:paraId="51A852CA"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أولاً: تقييد سلطة القاضي في الإثبات المقيد</w:t>
      </w:r>
    </w:p>
    <w:p w14:paraId="417CE57A" w14:textId="19025CC1"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في القضايا المدنية والتجارية التي تزيد قيمتها عن حد معين، يشترط القانون الإثبات بالكتابة</w:t>
      </w:r>
      <w:r w:rsidR="004D64B0">
        <w:rPr>
          <w:rStyle w:val="FootnoteReference"/>
          <w:rFonts w:asciiTheme="minorBidi" w:hAnsiTheme="minorBidi" w:cstheme="minorBidi"/>
          <w:rtl/>
        </w:rPr>
        <w:t>(</w:t>
      </w:r>
      <w:r w:rsidR="004D64B0">
        <w:rPr>
          <w:rStyle w:val="FootnoteReference"/>
          <w:rFonts w:asciiTheme="minorBidi" w:hAnsiTheme="minorBidi" w:cstheme="minorBidi"/>
          <w:rtl/>
        </w:rPr>
        <w:footnoteReference w:id="10"/>
      </w:r>
      <w:r w:rsidR="004D64B0">
        <w:rPr>
          <w:rStyle w:val="FootnoteReference"/>
          <w:rFonts w:asciiTheme="minorBidi" w:hAnsiTheme="minorBidi" w:cstheme="minorBidi"/>
          <w:rtl/>
        </w:rPr>
        <w:t>)</w:t>
      </w:r>
      <w:r>
        <w:rPr>
          <w:rFonts w:asciiTheme="minorBidi" w:hAnsiTheme="minorBidi" w:cstheme="minorBidi" w:hint="cs"/>
          <w:rtl/>
        </w:rPr>
        <w:t>.</w:t>
      </w:r>
    </w:p>
    <w:p w14:paraId="6F7C47D8" w14:textId="77777777" w:rsidR="00D67EDA" w:rsidRPr="00D67EDA" w:rsidRDefault="00D67EDA" w:rsidP="00D67EDA">
      <w:pPr>
        <w:pStyle w:val="NormalWeb"/>
        <w:numPr>
          <w:ilvl w:val="0"/>
          <w:numId w:val="237"/>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الإشكالية</w:t>
      </w:r>
      <w:r w:rsidRPr="00D67EDA">
        <w:rPr>
          <w:rFonts w:asciiTheme="minorBidi" w:hAnsiTheme="minorBidi" w:cstheme="minorBidi"/>
        </w:rPr>
        <w:t xml:space="preserve">: </w:t>
      </w:r>
      <w:r w:rsidRPr="00D67EDA">
        <w:rPr>
          <w:rFonts w:asciiTheme="minorBidi" w:hAnsiTheme="minorBidi" w:cstheme="minorBidi"/>
          <w:rtl/>
        </w:rPr>
        <w:t>عندما يتم الاتفاق عبر "تطبيق واتساب" أو "بريد إلكتروني" لا يحمل توقيعاً إلكترونياً مصدقاً من جهة رسمية، هل يملك القاضي بموجب المادة 52 اعتبار هذا الدليل "بينة كاملة" أم مجرد "مبدأ ثبوت بالكتابة"؟</w:t>
      </w:r>
    </w:p>
    <w:p w14:paraId="0DDD1119" w14:textId="77777777" w:rsidR="00D67EDA" w:rsidRPr="00D67EDA" w:rsidRDefault="00D67EDA" w:rsidP="00D67EDA">
      <w:pPr>
        <w:pStyle w:val="NormalWeb"/>
        <w:numPr>
          <w:ilvl w:val="0"/>
          <w:numId w:val="237"/>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إن حصر القاضي في قوالب الإثبات التقليدية يؤدي إلى ضياع حقوق ثابتة رقمياً لمجرد أنها لم تتخذ الشكل الذي رسمه القانون قبل سبعين عاماً</w:t>
      </w:r>
      <w:r w:rsidRPr="00D67EDA">
        <w:rPr>
          <w:rFonts w:asciiTheme="minorBidi" w:hAnsiTheme="minorBidi" w:cstheme="minorBidi"/>
        </w:rPr>
        <w:t>.</w:t>
      </w:r>
    </w:p>
    <w:p w14:paraId="74E5A7A6" w14:textId="77777777" w:rsidR="00D67EDA" w:rsidRPr="00D67EDA" w:rsidRDefault="00D67EDA" w:rsidP="00D67EDA">
      <w:pPr>
        <w:pStyle w:val="Heading3"/>
        <w:spacing w:before="0"/>
        <w:jc w:val="lowKashida"/>
        <w:rPr>
          <w:rFonts w:asciiTheme="minorBidi" w:hAnsiTheme="minorBidi" w:cstheme="minorBidi"/>
          <w:b/>
          <w:bCs w:val="0"/>
          <w:szCs w:val="24"/>
        </w:rPr>
      </w:pPr>
      <w:r w:rsidRPr="00D67EDA">
        <w:rPr>
          <w:rFonts w:asciiTheme="minorBidi" w:hAnsiTheme="minorBidi" w:cstheme="minorBidi"/>
          <w:bCs w:val="0"/>
          <w:szCs w:val="24"/>
          <w:rtl/>
        </w:rPr>
        <w:t>ثانياً: التحدي التقني مقابل القناعة الوجدانية</w:t>
      </w:r>
    </w:p>
    <w:p w14:paraId="05776CFD" w14:textId="4C5DA395" w:rsidR="004D64B0" w:rsidRPr="004D64B0" w:rsidRDefault="00D67EDA" w:rsidP="004D64B0">
      <w:pPr>
        <w:pStyle w:val="NormalWeb"/>
        <w:bidi/>
        <w:spacing w:before="0" w:beforeAutospacing="0" w:after="0" w:afterAutospacing="0"/>
        <w:jc w:val="lowKashida"/>
        <w:rPr>
          <w:rFonts w:asciiTheme="minorBidi" w:hAnsiTheme="minorBidi" w:cstheme="minorBidi"/>
          <w:rtl/>
          <w:lang w:bidi="ar-IQ"/>
        </w:rPr>
      </w:pPr>
      <w:r w:rsidRPr="00D67EDA">
        <w:rPr>
          <w:rFonts w:asciiTheme="minorBidi" w:hAnsiTheme="minorBidi" w:cstheme="minorBidi"/>
          <w:rtl/>
        </w:rPr>
        <w:t>وفقاً للمادة (52)، القاضي هو الخبير الأعلى، ولكن في الأدلة الرقمية، يجد القاضي نفسه مقيداً بتقرير الخبير الفني. إذا قرر الخبير أن الرسالة الإلكترونية "صحيحة تقنياً"، يصعب على القاضي مخالفتها لعدم امتلاكه الأدوات المعرفية لنقد الدليل الرقمي، مما يحول سلطة التقدير فعلياً من "منصة القضاء" إلى "مكتب الخبير</w:t>
      </w:r>
      <w:r w:rsidR="004D64B0">
        <w:rPr>
          <w:rStyle w:val="FootnoteReference"/>
          <w:rFonts w:asciiTheme="minorBidi" w:hAnsiTheme="minorBidi" w:cstheme="minorBidi"/>
          <w:rtl/>
        </w:rPr>
        <w:t>(</w:t>
      </w:r>
      <w:r w:rsidR="004D64B0">
        <w:rPr>
          <w:rStyle w:val="FootnoteReference"/>
          <w:rFonts w:asciiTheme="minorBidi" w:hAnsiTheme="minorBidi" w:cstheme="minorBidi"/>
          <w:rtl/>
        </w:rPr>
        <w:footnoteReference w:id="11"/>
      </w:r>
      <w:r w:rsidR="004D64B0">
        <w:rPr>
          <w:rStyle w:val="FootnoteReference"/>
          <w:rFonts w:asciiTheme="minorBidi" w:hAnsiTheme="minorBidi" w:cstheme="minorBidi"/>
          <w:rtl/>
        </w:rPr>
        <w:t>)</w:t>
      </w:r>
      <w:r w:rsidRPr="00D67EDA">
        <w:rPr>
          <w:rFonts w:asciiTheme="minorBidi" w:hAnsiTheme="minorBidi" w:cstheme="minorBidi"/>
        </w:rPr>
        <w:t>".</w:t>
      </w:r>
    </w:p>
    <w:p w14:paraId="0151137F" w14:textId="6ECB39DB" w:rsidR="00D67EDA" w:rsidRPr="00D67EDA" w:rsidRDefault="00D67EDA" w:rsidP="004D64B0">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التحديات الإجرائية (عبء الإثبات وسلسلة الحيازة)</w:t>
      </w:r>
    </w:p>
    <w:p w14:paraId="1E65A709" w14:textId="77777777" w:rsidR="00D67EDA" w:rsidRPr="00D67EDA" w:rsidRDefault="00D67EDA" w:rsidP="00D67EDA">
      <w:pPr>
        <w:pStyle w:val="Heading3"/>
        <w:spacing w:before="0"/>
        <w:jc w:val="lowKashida"/>
        <w:rPr>
          <w:rFonts w:asciiTheme="minorBidi" w:hAnsiTheme="minorBidi" w:cstheme="minorBidi"/>
          <w:b/>
          <w:bCs w:val="0"/>
          <w:szCs w:val="24"/>
        </w:rPr>
      </w:pPr>
      <w:r w:rsidRPr="00D67EDA">
        <w:rPr>
          <w:rFonts w:asciiTheme="minorBidi" w:hAnsiTheme="minorBidi" w:cstheme="minorBidi"/>
          <w:bCs w:val="0"/>
          <w:szCs w:val="24"/>
          <w:rtl/>
        </w:rPr>
        <w:t>أولاً: نقل عبء الإثبات</w:t>
      </w:r>
    </w:p>
    <w:p w14:paraId="3CC5CB14"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في الأدلة التقليدية، من يدعي التزوير عليه الإثبات. أما في الدليل الرقمي، فإن مجرد إنكار الطرف الآخر لصحة الرسالة الإلكترونية يضع الطرف الأول (المدعي) في موقف صعب لإثبات "عدم التلاعب"، وهو أمر يتطلب تكاليف باهظة وجهداً فنياً مضنياً</w:t>
      </w:r>
      <w:r w:rsidRPr="00D67EDA">
        <w:rPr>
          <w:rFonts w:asciiTheme="minorBidi" w:hAnsiTheme="minorBidi" w:cstheme="minorBidi"/>
        </w:rPr>
        <w:t>.</w:t>
      </w:r>
    </w:p>
    <w:p w14:paraId="0B0C9633" w14:textId="77777777" w:rsidR="00D67EDA" w:rsidRPr="00D67EDA" w:rsidRDefault="00D67EDA" w:rsidP="00D67EDA">
      <w:pPr>
        <w:pStyle w:val="Heading3"/>
        <w:spacing w:before="0"/>
        <w:jc w:val="lowKashida"/>
        <w:rPr>
          <w:rFonts w:asciiTheme="minorBidi" w:hAnsiTheme="minorBidi" w:cstheme="minorBidi"/>
          <w:b/>
          <w:bCs w:val="0"/>
          <w:szCs w:val="24"/>
        </w:rPr>
      </w:pPr>
      <w:r w:rsidRPr="00D67EDA">
        <w:rPr>
          <w:rFonts w:asciiTheme="minorBidi" w:hAnsiTheme="minorBidi" w:cstheme="minorBidi"/>
          <w:bCs w:val="0"/>
          <w:szCs w:val="24"/>
          <w:rtl/>
        </w:rPr>
        <w:lastRenderedPageBreak/>
        <w:t>ثانياً: إشكالية "سلسلة الحيازة</w:t>
      </w:r>
      <w:r w:rsidRPr="00D67EDA">
        <w:rPr>
          <w:rFonts w:asciiTheme="minorBidi" w:hAnsiTheme="minorBidi" w:cstheme="minorBidi"/>
          <w:bCs w:val="0"/>
          <w:szCs w:val="24"/>
        </w:rPr>
        <w:t>" (Chain of Custody)</w:t>
      </w:r>
    </w:p>
    <w:p w14:paraId="7CEAC8BD"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يفتقر قانون البينات الأردني لنصوص تنظم كيفية ضبط وتخزين الأدلة الرقمية لضمان عدم العبث بها منذ لحظة تقديمها وحتى صدور الحكم</w:t>
      </w:r>
      <w:r w:rsidRPr="00D67EDA">
        <w:rPr>
          <w:rFonts w:asciiTheme="minorBidi" w:hAnsiTheme="minorBidi" w:cstheme="minorBidi"/>
        </w:rPr>
        <w:t>.</w:t>
      </w:r>
    </w:p>
    <w:p w14:paraId="5623ECED" w14:textId="48C9FF6E" w:rsidR="00D67EDA" w:rsidRPr="00D67EDA" w:rsidRDefault="00D67EDA" w:rsidP="00D67EDA">
      <w:pPr>
        <w:pStyle w:val="NormalWeb"/>
        <w:bidi/>
        <w:spacing w:before="0" w:beforeAutospacing="0" w:after="0" w:afterAutospacing="0"/>
        <w:jc w:val="lowKashida"/>
        <w:rPr>
          <w:rFonts w:asciiTheme="minorBidi" w:hAnsiTheme="minorBidi" w:cstheme="minorBidi"/>
          <w:rtl/>
        </w:rPr>
      </w:pPr>
      <w:r w:rsidRPr="00D67EDA">
        <w:rPr>
          <w:rFonts w:asciiTheme="minorBidi" w:hAnsiTheme="minorBidi" w:cstheme="minorBidi"/>
          <w:rtl/>
        </w:rPr>
        <w:t>مثال</w:t>
      </w:r>
      <w:r w:rsidRPr="00D67EDA">
        <w:rPr>
          <w:rFonts w:asciiTheme="minorBidi" w:hAnsiTheme="minorBidi" w:cstheme="minorBidi"/>
        </w:rPr>
        <w:t xml:space="preserve">: </w:t>
      </w:r>
      <w:r w:rsidRPr="00D67EDA">
        <w:rPr>
          <w:rFonts w:asciiTheme="minorBidi" w:hAnsiTheme="minorBidi" w:cstheme="minorBidi"/>
          <w:rtl/>
        </w:rPr>
        <w:t>تقديم "هاتف محمول" كبينة؛ في حال عدم وجود بروتوكول قانوني تقني لحفظ محتوياته فوراً، فإن الدليل يظل عرضة للتعديل عن بُعد</w:t>
      </w:r>
      <w:r w:rsidRPr="00D67EDA">
        <w:rPr>
          <w:rFonts w:asciiTheme="minorBidi" w:hAnsiTheme="minorBidi" w:cstheme="minorBidi"/>
        </w:rPr>
        <w:t xml:space="preserve"> (Remote Wipe/Edit)</w:t>
      </w:r>
      <w:r w:rsidRPr="00D67EDA">
        <w:rPr>
          <w:rFonts w:asciiTheme="minorBidi" w:hAnsiTheme="minorBidi" w:cstheme="minorBidi"/>
          <w:rtl/>
        </w:rPr>
        <w:t>، مما يفقد البينة قيمتها القانونية .</w:t>
      </w:r>
      <w:r w:rsidR="004D64B0">
        <w:rPr>
          <w:rStyle w:val="FootnoteReference"/>
          <w:rFonts w:asciiTheme="minorBidi" w:hAnsiTheme="minorBidi" w:cstheme="minorBidi"/>
          <w:rtl/>
        </w:rPr>
        <w:t>(</w:t>
      </w:r>
      <w:r w:rsidR="004D64B0" w:rsidRPr="00D67EDA">
        <w:rPr>
          <w:rStyle w:val="FootnoteReference"/>
          <w:rFonts w:asciiTheme="minorBidi" w:hAnsiTheme="minorBidi" w:cstheme="minorBidi"/>
          <w:rtl/>
        </w:rPr>
        <w:footnoteReference w:id="12"/>
      </w:r>
      <w:r w:rsidR="004D64B0">
        <w:rPr>
          <w:rStyle w:val="FootnoteReference"/>
          <w:rFonts w:asciiTheme="minorBidi" w:hAnsiTheme="minorBidi" w:cstheme="minorBidi"/>
          <w:rtl/>
        </w:rPr>
        <w:t>)</w:t>
      </w:r>
    </w:p>
    <w:p w14:paraId="3B451A16"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نحو مفهوم "الدليل الرقمي الأصيل</w:t>
      </w:r>
      <w:r w:rsidRPr="00D67EDA">
        <w:rPr>
          <w:rFonts w:asciiTheme="minorBidi" w:hAnsiTheme="minorBidi" w:cstheme="minorBidi"/>
          <w:b/>
          <w:bCs/>
        </w:rPr>
        <w:t>"</w:t>
      </w:r>
    </w:p>
    <w:p w14:paraId="65069D99"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يتوجب على المشرع الأردني في أي تعديل قادم تجاوز فكرة "النسخة" و"الأصل". الدليل الرقمي يجب أن يعامل ككيان مستقل</w:t>
      </w:r>
      <w:r w:rsidRPr="00D67EDA">
        <w:rPr>
          <w:rFonts w:asciiTheme="minorBidi" w:hAnsiTheme="minorBidi" w:cstheme="minorBidi"/>
        </w:rPr>
        <w:t xml:space="preserve"> (Digital Entity).</w:t>
      </w:r>
    </w:p>
    <w:p w14:paraId="49D8EE18" w14:textId="77777777" w:rsidR="00D67EDA" w:rsidRPr="00D67EDA" w:rsidRDefault="00D67EDA" w:rsidP="00D67EDA">
      <w:pPr>
        <w:pStyle w:val="NormalWeb"/>
        <w:numPr>
          <w:ilvl w:val="0"/>
          <w:numId w:val="238"/>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المقترح</w:t>
      </w:r>
      <w:r w:rsidRPr="00D67EDA">
        <w:rPr>
          <w:rFonts w:asciiTheme="minorBidi" w:hAnsiTheme="minorBidi" w:cstheme="minorBidi"/>
        </w:rPr>
        <w:t xml:space="preserve">: </w:t>
      </w:r>
      <w:r w:rsidRPr="00D67EDA">
        <w:rPr>
          <w:rFonts w:asciiTheme="minorBidi" w:hAnsiTheme="minorBidi" w:cstheme="minorBidi"/>
          <w:rtl/>
        </w:rPr>
        <w:t>استبدال مصطلح "المستخرجات الحاسوبية" بمصطلح "الأدلة الرقمية والمعلوماتية"، لضمان شمولية الصور، الفيديوهات، سجلات الولوج</w:t>
      </w:r>
      <w:r w:rsidRPr="00D67EDA">
        <w:rPr>
          <w:rFonts w:asciiTheme="minorBidi" w:hAnsiTheme="minorBidi" w:cstheme="minorBidi"/>
        </w:rPr>
        <w:t xml:space="preserve"> (Log Files)</w:t>
      </w:r>
      <w:r w:rsidRPr="00D67EDA">
        <w:rPr>
          <w:rFonts w:asciiTheme="minorBidi" w:hAnsiTheme="minorBidi" w:cstheme="minorBidi"/>
          <w:rtl/>
        </w:rPr>
        <w:t>، والعملات الرقمية، وغيرها من البينات التي لا يمكن حصرها في مفهوم "المستخرج</w:t>
      </w:r>
      <w:r w:rsidRPr="00D67EDA">
        <w:rPr>
          <w:rFonts w:asciiTheme="minorBidi" w:hAnsiTheme="minorBidi" w:cstheme="minorBidi"/>
        </w:rPr>
        <w:t>".</w:t>
      </w:r>
    </w:p>
    <w:p w14:paraId="2232DDB2"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موقف القضاء الأردني من حجية الأدلة الرقمية (دراسة استقرائية لقرارات محكمة التمييز)</w:t>
      </w:r>
    </w:p>
    <w:p w14:paraId="146FBA60"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لا يمكن الوقوف على حقيقة القصور التشريعي دون تحليل كيفية تعامل "محكمة التمييز" -باعتبارها محكمة قانون- مع المعطيات الرقمية. ومن خلال استقراء الأحكام الحديثة، نجد تذبذباً يعكس الحاجة الملحة للتحديث</w:t>
      </w:r>
      <w:r w:rsidRPr="00D67EDA">
        <w:rPr>
          <w:rFonts w:asciiTheme="minorBidi" w:hAnsiTheme="minorBidi" w:cstheme="minorBidi"/>
        </w:rPr>
        <w:t>.</w:t>
      </w:r>
    </w:p>
    <w:p w14:paraId="1D4DBE02" w14:textId="77777777" w:rsidR="00D67EDA" w:rsidRPr="00D67EDA" w:rsidRDefault="00D67EDA" w:rsidP="00D67EDA">
      <w:pPr>
        <w:pStyle w:val="Heading3"/>
        <w:spacing w:before="0"/>
        <w:jc w:val="lowKashida"/>
        <w:rPr>
          <w:rFonts w:asciiTheme="minorBidi" w:hAnsiTheme="minorBidi" w:cstheme="minorBidi"/>
          <w:szCs w:val="24"/>
        </w:rPr>
      </w:pPr>
      <w:r w:rsidRPr="00D67EDA">
        <w:rPr>
          <w:rFonts w:asciiTheme="minorBidi" w:hAnsiTheme="minorBidi" w:cstheme="minorBidi"/>
          <w:szCs w:val="24"/>
          <w:rtl/>
        </w:rPr>
        <w:t>أولاً: الاعتراف برسائل البريد الإلكتروني</w:t>
      </w:r>
      <w:r w:rsidRPr="00D67EDA">
        <w:rPr>
          <w:rFonts w:asciiTheme="minorBidi" w:hAnsiTheme="minorBidi" w:cstheme="minorBidi"/>
          <w:szCs w:val="24"/>
        </w:rPr>
        <w:t xml:space="preserve"> (E-mail)</w:t>
      </w:r>
    </w:p>
    <w:p w14:paraId="4A7F10FE"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في قرارات عديدة، ذهبت محكمة التمييز إلى إعطاء رسائل البريد الإلكتروني حجية "السندات العرفية" إذا لم ينكرها الخصم</w:t>
      </w:r>
      <w:r w:rsidRPr="00D67EDA">
        <w:rPr>
          <w:rFonts w:asciiTheme="minorBidi" w:hAnsiTheme="minorBidi" w:cstheme="minorBidi"/>
        </w:rPr>
        <w:t>.</w:t>
      </w:r>
    </w:p>
    <w:p w14:paraId="07BBB7F1" w14:textId="1B7DAA9A"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تحليل قرار</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في قرار صادر عن محكمة التمييز بصفتها الحقوقية، اعتبرت أن المراسلات التجارية عبر البريد الإلكتروني تعد "بينة خطية" مقبولة في مواجهة التاجر</w:t>
      </w:r>
      <w:r w:rsidR="004D64B0">
        <w:rPr>
          <w:rStyle w:val="FootnoteReference"/>
          <w:rFonts w:asciiTheme="minorBidi" w:hAnsiTheme="minorBidi" w:cstheme="minorBidi"/>
          <w:rtl/>
        </w:rPr>
        <w:t>(</w:t>
      </w:r>
      <w:r w:rsidR="004D64B0" w:rsidRPr="00D67EDA">
        <w:rPr>
          <w:rStyle w:val="FootnoteReference"/>
          <w:rFonts w:asciiTheme="minorBidi" w:hAnsiTheme="minorBidi" w:cstheme="minorBidi"/>
          <w:rtl/>
        </w:rPr>
        <w:footnoteReference w:id="13"/>
      </w:r>
      <w:r w:rsidR="004D64B0">
        <w:rPr>
          <w:rStyle w:val="FootnoteReference"/>
          <w:rFonts w:asciiTheme="minorBidi" w:hAnsiTheme="minorBidi" w:cstheme="minorBidi"/>
          <w:rtl/>
        </w:rPr>
        <w:t>)</w:t>
      </w:r>
      <w:r w:rsidRPr="00D67EDA">
        <w:rPr>
          <w:rFonts w:asciiTheme="minorBidi" w:hAnsiTheme="minorBidi" w:cstheme="minorBidi"/>
          <w:rtl/>
        </w:rPr>
        <w:t>، استناداً إلى مفهوم المادة (47) من قانون البينات التي وسعت مفهوم الكتابة. ولكن الإشكالية تظهر عندما يتم الإنكار؛ حيث يتردد القضاء في اعتبارها "بينة كاملة" دون تعزيزها بخبرة فنية مكلفة</w:t>
      </w:r>
      <w:r w:rsidRPr="00D67EDA">
        <w:rPr>
          <w:rFonts w:asciiTheme="minorBidi" w:hAnsiTheme="minorBidi" w:cstheme="minorBidi"/>
        </w:rPr>
        <w:t>.</w:t>
      </w:r>
    </w:p>
    <w:p w14:paraId="478C5FF5" w14:textId="77777777" w:rsidR="00D67EDA" w:rsidRPr="00D67EDA" w:rsidRDefault="00D67EDA" w:rsidP="00D67EDA">
      <w:pPr>
        <w:pStyle w:val="Heading3"/>
        <w:spacing w:before="0"/>
        <w:jc w:val="lowKashida"/>
        <w:rPr>
          <w:rFonts w:asciiTheme="minorBidi" w:hAnsiTheme="minorBidi" w:cstheme="minorBidi"/>
          <w:szCs w:val="24"/>
        </w:rPr>
      </w:pPr>
      <w:r w:rsidRPr="00D67EDA">
        <w:rPr>
          <w:rFonts w:asciiTheme="minorBidi" w:hAnsiTheme="minorBidi" w:cstheme="minorBidi"/>
          <w:szCs w:val="24"/>
          <w:rtl/>
        </w:rPr>
        <w:t>ثانياً: حجية تطبيق "واتساب</w:t>
      </w:r>
      <w:r w:rsidRPr="00D67EDA">
        <w:rPr>
          <w:rFonts w:asciiTheme="minorBidi" w:hAnsiTheme="minorBidi" w:cstheme="minorBidi"/>
          <w:szCs w:val="24"/>
        </w:rPr>
        <w:t xml:space="preserve">" (WhatsApp) </w:t>
      </w:r>
      <w:r w:rsidRPr="00D67EDA">
        <w:rPr>
          <w:rFonts w:asciiTheme="minorBidi" w:hAnsiTheme="minorBidi" w:cstheme="minorBidi"/>
          <w:szCs w:val="24"/>
          <w:rtl/>
        </w:rPr>
        <w:t>والوسائط الاجتماعية</w:t>
      </w:r>
    </w:p>
    <w:p w14:paraId="6F4A17D0"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يعد هذا الملف من أكثر الملفات تعقيداً أمام القضاء الأردني</w:t>
      </w:r>
      <w:r w:rsidRPr="00D67EDA">
        <w:rPr>
          <w:rFonts w:asciiTheme="minorBidi" w:hAnsiTheme="minorBidi" w:cstheme="minorBidi"/>
        </w:rPr>
        <w:t>.</w:t>
      </w:r>
    </w:p>
    <w:p w14:paraId="0880704A" w14:textId="2F4F0765" w:rsidR="00D67EDA" w:rsidRPr="00D67EDA" w:rsidRDefault="00D67EDA" w:rsidP="00D67EDA">
      <w:pPr>
        <w:pStyle w:val="NormalWeb"/>
        <w:numPr>
          <w:ilvl w:val="0"/>
          <w:numId w:val="243"/>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الاتجاه القضائي</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بدأت المحاكم الأردنية تميل مؤخراً لقبول لقطات الشاشة</w:t>
      </w:r>
      <w:r w:rsidRPr="00D67EDA">
        <w:rPr>
          <w:rFonts w:asciiTheme="minorBidi" w:hAnsiTheme="minorBidi" w:cstheme="minorBidi"/>
        </w:rPr>
        <w:t xml:space="preserve"> (Screenshots) </w:t>
      </w:r>
      <w:r w:rsidRPr="00D67EDA">
        <w:rPr>
          <w:rFonts w:asciiTheme="minorBidi" w:hAnsiTheme="minorBidi" w:cstheme="minorBidi"/>
          <w:rtl/>
        </w:rPr>
        <w:t>كمبدأ ثبوت بالكتابة</w:t>
      </w:r>
      <w:r w:rsidR="004D64B0">
        <w:rPr>
          <w:rStyle w:val="FootnoteReference"/>
          <w:rFonts w:asciiTheme="minorBidi" w:hAnsiTheme="minorBidi" w:cstheme="minorBidi"/>
          <w:rtl/>
        </w:rPr>
        <w:t>(</w:t>
      </w:r>
      <w:r w:rsidR="004D64B0" w:rsidRPr="00D67EDA">
        <w:rPr>
          <w:rStyle w:val="FootnoteReference"/>
          <w:rFonts w:asciiTheme="minorBidi" w:hAnsiTheme="minorBidi" w:cstheme="minorBidi"/>
          <w:rtl/>
        </w:rPr>
        <w:footnoteReference w:id="14"/>
      </w:r>
      <w:r w:rsidR="004D64B0">
        <w:rPr>
          <w:rStyle w:val="FootnoteReference"/>
          <w:rFonts w:asciiTheme="minorBidi" w:hAnsiTheme="minorBidi" w:cstheme="minorBidi"/>
          <w:rtl/>
        </w:rPr>
        <w:t>)</w:t>
      </w:r>
      <w:r w:rsidRPr="00D67EDA">
        <w:rPr>
          <w:rFonts w:asciiTheme="minorBidi" w:hAnsiTheme="minorBidi" w:cstheme="minorBidi"/>
          <w:rtl/>
        </w:rPr>
        <w:t>، إلا أنها في كثير من الأحيان لا ترقى لمرتبة الدليل القاطع</w:t>
      </w:r>
      <w:r w:rsidRPr="00D67EDA">
        <w:rPr>
          <w:rFonts w:asciiTheme="minorBidi" w:hAnsiTheme="minorBidi" w:cstheme="minorBidi"/>
        </w:rPr>
        <w:t>.</w:t>
      </w:r>
    </w:p>
    <w:p w14:paraId="426085BF" w14:textId="77777777" w:rsidR="00D67EDA" w:rsidRPr="00D67EDA" w:rsidRDefault="00D67EDA" w:rsidP="00D67EDA">
      <w:pPr>
        <w:pStyle w:val="NormalWeb"/>
        <w:numPr>
          <w:ilvl w:val="0"/>
          <w:numId w:val="243"/>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النقد</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إن افتقار قانون البينات لنص صريح ينظم "التوقيع الإلكتروني الضمني" في تطبيقات المراسلة يجعل هذه الأدلة عرضة للاستبعاد بسهولة بمجرد الدفع بـ "احتمالية الاختراق" أو "اصطناع الحساب"، وهو ما يعطل حسم القضايا</w:t>
      </w:r>
      <w:r w:rsidRPr="00D67EDA">
        <w:rPr>
          <w:rFonts w:asciiTheme="minorBidi" w:hAnsiTheme="minorBidi" w:cstheme="minorBidi"/>
        </w:rPr>
        <w:t>.</w:t>
      </w:r>
    </w:p>
    <w:p w14:paraId="0BF7D971" w14:textId="77777777" w:rsidR="00D67EDA" w:rsidRPr="00D67EDA" w:rsidRDefault="00D67EDA" w:rsidP="00D67EDA">
      <w:pPr>
        <w:pStyle w:val="Heading3"/>
        <w:spacing w:before="0"/>
        <w:jc w:val="lowKashida"/>
        <w:rPr>
          <w:rFonts w:asciiTheme="minorBidi" w:hAnsiTheme="minorBidi" w:cstheme="minorBidi"/>
          <w:szCs w:val="24"/>
        </w:rPr>
      </w:pPr>
      <w:r w:rsidRPr="00D67EDA">
        <w:rPr>
          <w:rFonts w:asciiTheme="minorBidi" w:hAnsiTheme="minorBidi" w:cstheme="minorBidi"/>
          <w:szCs w:val="24"/>
          <w:rtl/>
        </w:rPr>
        <w:t>ثالثاً: الدور السلبي للخبرة الفنية في القضايا الرقمية</w:t>
      </w:r>
    </w:p>
    <w:p w14:paraId="3E5D6A7D"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تلاحظ الباحثة من خلال استقراء الأحكام أن القاضي الأردني غالباً ما "يتخلى" عن سلطته التقديرية (المادة 52) لصالح الخبير التقني</w:t>
      </w:r>
      <w:r w:rsidRPr="00D67EDA">
        <w:rPr>
          <w:rFonts w:asciiTheme="minorBidi" w:hAnsiTheme="minorBidi" w:cstheme="minorBidi"/>
        </w:rPr>
        <w:t>.</w:t>
      </w:r>
    </w:p>
    <w:p w14:paraId="20CB1E38" w14:textId="77777777" w:rsidR="00D67EDA" w:rsidRPr="00D67EDA" w:rsidRDefault="00D67EDA" w:rsidP="00D67EDA">
      <w:pPr>
        <w:pStyle w:val="NormalWeb"/>
        <w:numPr>
          <w:ilvl w:val="0"/>
          <w:numId w:val="244"/>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الإشكالية</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عند الطعن بصحة دليل رقمي، تحيل المحكمة الأمر لخبير من المختبرات الجنائية أو خبير خالتاجراص. فإذا أفاد الخبير باستحالة الجزم (بسبب مسح البيانات أو تعقيد النظام)، يميل القضاء لإهدار الدليل تماماً، بينما في القوانين المقارنة، يُفعل القاضي "قرائن الأحوال" والتكافؤ الوظيفي لسد هذه الثغرة الفنية</w:t>
      </w:r>
      <w:r w:rsidRPr="00D67EDA">
        <w:rPr>
          <w:rFonts w:asciiTheme="minorBidi" w:hAnsiTheme="minorBidi" w:cstheme="minorBidi"/>
        </w:rPr>
        <w:t>.</w:t>
      </w:r>
    </w:p>
    <w:p w14:paraId="2B5317E5"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العوائق التقنية أمام تفعيل المادة (47) في المحاكم</w:t>
      </w:r>
    </w:p>
    <w:p w14:paraId="2DC885F5"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رغم وجود المادة (47)، إلا أن تفعيلها يصطدم بعوائق واقعية منها</w:t>
      </w:r>
      <w:r w:rsidRPr="00D67EDA">
        <w:rPr>
          <w:rFonts w:asciiTheme="minorBidi" w:hAnsiTheme="minorBidi" w:cstheme="minorBidi"/>
        </w:rPr>
        <w:t>:</w:t>
      </w:r>
    </w:p>
    <w:p w14:paraId="00C7D2B6" w14:textId="77777777" w:rsidR="00D67EDA" w:rsidRPr="00D67EDA" w:rsidRDefault="00D67EDA" w:rsidP="00D67EDA">
      <w:pPr>
        <w:pStyle w:val="NormalWeb"/>
        <w:numPr>
          <w:ilvl w:val="0"/>
          <w:numId w:val="245"/>
        </w:numPr>
        <w:tabs>
          <w:tab w:val="clear" w:pos="720"/>
        </w:tabs>
        <w:bidi/>
        <w:spacing w:before="0" w:beforeAutospacing="0" w:after="0" w:afterAutospacing="0"/>
        <w:ind w:left="282"/>
        <w:jc w:val="lowKashida"/>
        <w:rPr>
          <w:rFonts w:asciiTheme="minorBidi" w:hAnsiTheme="minorBidi" w:cstheme="minorBidi"/>
        </w:rPr>
      </w:pPr>
      <w:r w:rsidRPr="00D67EDA">
        <w:rPr>
          <w:rFonts w:asciiTheme="minorBidi" w:hAnsiTheme="minorBidi" w:cstheme="minorBidi"/>
          <w:b/>
          <w:bCs/>
          <w:rtl/>
        </w:rPr>
        <w:t>عدم اعتماد "الأرشفة الرقمية" كأصل</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لا تزال المحاكم تطلب "نسخاً ورقية" مترجمة ومصدقة من الأدلة الرقمية، مما يتنافى مع طبيعة الدليل الذي قد يكون (تسجيلاً صوتياً أو فيديو أو خوارزمية)</w:t>
      </w:r>
      <w:r w:rsidRPr="00D67EDA">
        <w:rPr>
          <w:rFonts w:asciiTheme="minorBidi" w:hAnsiTheme="minorBidi" w:cstheme="minorBidi"/>
        </w:rPr>
        <w:t>.</w:t>
      </w:r>
    </w:p>
    <w:p w14:paraId="0CEB4745" w14:textId="77777777" w:rsidR="00D67EDA" w:rsidRPr="00D67EDA" w:rsidRDefault="00D67EDA" w:rsidP="00D67EDA">
      <w:pPr>
        <w:pStyle w:val="NormalWeb"/>
        <w:numPr>
          <w:ilvl w:val="0"/>
          <w:numId w:val="245"/>
        </w:numPr>
        <w:tabs>
          <w:tab w:val="clear" w:pos="720"/>
        </w:tabs>
        <w:bidi/>
        <w:spacing w:before="0" w:beforeAutospacing="0" w:after="0" w:afterAutospacing="0"/>
        <w:ind w:left="282"/>
        <w:jc w:val="lowKashida"/>
        <w:rPr>
          <w:rFonts w:asciiTheme="minorBidi" w:hAnsiTheme="minorBidi" w:cstheme="minorBidi"/>
        </w:rPr>
      </w:pPr>
      <w:r w:rsidRPr="00D67EDA">
        <w:rPr>
          <w:rFonts w:asciiTheme="minorBidi" w:hAnsiTheme="minorBidi" w:cstheme="minorBidi"/>
          <w:b/>
          <w:bCs/>
          <w:rtl/>
        </w:rPr>
        <w:t>غياب التوقيع الإلكتروني المصدق</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رغم وجود قانون معاملات إلكترونية منذ 2015، إلا أن نسبة استخدامه في المعاملات المدنية بين الأفراد لا تزال ضئيلة، مما يجعل معظم الأدلة الرقمية تفتقر للصبغة الرسمية التي يتطلبها قانون البينات</w:t>
      </w:r>
      <w:r w:rsidRPr="00D67EDA">
        <w:rPr>
          <w:rFonts w:asciiTheme="minorBidi" w:hAnsiTheme="minorBidi" w:cstheme="minorBidi"/>
        </w:rPr>
        <w:t>.</w:t>
      </w:r>
    </w:p>
    <w:p w14:paraId="3919C98E"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التحديات الرقمية الناشئة (الذكاء الاصطناعي، البلوكشين، والعقود الذكية)</w:t>
      </w:r>
    </w:p>
    <w:p w14:paraId="2D56275D"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لا يقتصر القصور في قانون البينات الأردني على الرسائل الإلكترونية التقليدية، بل يمتد ليشمل تقنيات "الجيل الثالث من الويب</w:t>
      </w:r>
      <w:r w:rsidRPr="00D67EDA">
        <w:rPr>
          <w:rFonts w:asciiTheme="minorBidi" w:hAnsiTheme="minorBidi" w:cstheme="minorBidi"/>
        </w:rPr>
        <w:t>" (Web 3.0)</w:t>
      </w:r>
      <w:r w:rsidRPr="00D67EDA">
        <w:rPr>
          <w:rFonts w:asciiTheme="minorBidi" w:hAnsiTheme="minorBidi" w:cstheme="minorBidi"/>
          <w:rtl/>
        </w:rPr>
        <w:t>، التي بدأت تفرض نفسها على الواقع الاستثماري والقانوني في الأردن</w:t>
      </w:r>
      <w:r w:rsidRPr="00D67EDA">
        <w:rPr>
          <w:rFonts w:asciiTheme="minorBidi" w:hAnsiTheme="minorBidi" w:cstheme="minorBidi"/>
        </w:rPr>
        <w:t>.</w:t>
      </w:r>
    </w:p>
    <w:p w14:paraId="5D30E39D" w14:textId="77777777" w:rsidR="00D67EDA" w:rsidRPr="00D67EDA" w:rsidRDefault="00D67EDA" w:rsidP="00D67EDA">
      <w:pPr>
        <w:pStyle w:val="Heading3"/>
        <w:spacing w:before="0"/>
        <w:jc w:val="lowKashida"/>
        <w:rPr>
          <w:rFonts w:asciiTheme="minorBidi" w:hAnsiTheme="minorBidi" w:cstheme="minorBidi"/>
          <w:szCs w:val="24"/>
        </w:rPr>
      </w:pPr>
      <w:r w:rsidRPr="00D67EDA">
        <w:rPr>
          <w:rFonts w:asciiTheme="minorBidi" w:hAnsiTheme="minorBidi" w:cstheme="minorBidi"/>
          <w:szCs w:val="24"/>
          <w:rtl/>
        </w:rPr>
        <w:t>أولاً: تقنية البلوكشين</w:t>
      </w:r>
      <w:r w:rsidRPr="00D67EDA">
        <w:rPr>
          <w:rFonts w:asciiTheme="minorBidi" w:hAnsiTheme="minorBidi" w:cstheme="minorBidi"/>
          <w:szCs w:val="24"/>
        </w:rPr>
        <w:t xml:space="preserve"> (Blockchain) </w:t>
      </w:r>
      <w:r w:rsidRPr="00D67EDA">
        <w:rPr>
          <w:rFonts w:asciiTheme="minorBidi" w:hAnsiTheme="minorBidi" w:cstheme="minorBidi"/>
          <w:szCs w:val="24"/>
          <w:rtl/>
        </w:rPr>
        <w:t>وحجية "الدليل الذي لا يقبل المحو</w:t>
      </w:r>
      <w:r w:rsidRPr="00D67EDA">
        <w:rPr>
          <w:rFonts w:asciiTheme="minorBidi" w:hAnsiTheme="minorBidi" w:cstheme="minorBidi"/>
          <w:szCs w:val="24"/>
        </w:rPr>
        <w:t>"</w:t>
      </w:r>
    </w:p>
    <w:p w14:paraId="3798ED28"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تعتمد تقنية البلوكشين على سجلات موزعة تجعل من المستحيل تعديل البيانات بمجرد تسجيلها</w:t>
      </w:r>
      <w:r w:rsidRPr="00D67EDA">
        <w:rPr>
          <w:rFonts w:asciiTheme="minorBidi" w:hAnsiTheme="minorBidi" w:cstheme="minorBidi"/>
        </w:rPr>
        <w:t>.</w:t>
      </w:r>
    </w:p>
    <w:p w14:paraId="00CED953" w14:textId="77777777" w:rsidR="00D67EDA" w:rsidRPr="00D67EDA" w:rsidRDefault="00D67EDA" w:rsidP="00D67EDA">
      <w:pPr>
        <w:pStyle w:val="NormalWeb"/>
        <w:numPr>
          <w:ilvl w:val="0"/>
          <w:numId w:val="246"/>
        </w:numPr>
        <w:tabs>
          <w:tab w:val="clear" w:pos="720"/>
        </w:tabs>
        <w:bidi/>
        <w:spacing w:before="0" w:beforeAutospacing="0" w:after="0" w:afterAutospacing="0"/>
        <w:ind w:left="424"/>
        <w:jc w:val="lowKashida"/>
        <w:rPr>
          <w:rFonts w:asciiTheme="minorBidi" w:hAnsiTheme="minorBidi" w:cstheme="minorBidi"/>
        </w:rPr>
      </w:pPr>
      <w:r w:rsidRPr="00D67EDA">
        <w:rPr>
          <w:rFonts w:asciiTheme="minorBidi" w:hAnsiTheme="minorBidi" w:cstheme="minorBidi"/>
          <w:b/>
          <w:bCs/>
          <w:rtl/>
        </w:rPr>
        <w:t>الإشكالية القانونية</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وفقاً للمادة (47) من قانون البينات، يجب إثبات "سلامة النظام". في البلوكشين، النظام ليس مركزياً (لا تملكه جهة واحدة ليُشهد بسلامتها)، بل هو نظام مشاع عالمياً</w:t>
      </w:r>
      <w:r w:rsidRPr="00D67EDA">
        <w:rPr>
          <w:rFonts w:asciiTheme="minorBidi" w:hAnsiTheme="minorBidi" w:cstheme="minorBidi"/>
        </w:rPr>
        <w:t>.</w:t>
      </w:r>
    </w:p>
    <w:p w14:paraId="1A73E4B3" w14:textId="5D7BC87B" w:rsidR="00D67EDA" w:rsidRPr="00D67EDA" w:rsidRDefault="00D67EDA" w:rsidP="00D67EDA">
      <w:pPr>
        <w:pStyle w:val="NormalWeb"/>
        <w:numPr>
          <w:ilvl w:val="0"/>
          <w:numId w:val="246"/>
        </w:numPr>
        <w:tabs>
          <w:tab w:val="clear" w:pos="720"/>
        </w:tabs>
        <w:bidi/>
        <w:spacing w:before="0" w:beforeAutospacing="0" w:after="0" w:afterAutospacing="0"/>
        <w:ind w:left="424"/>
        <w:jc w:val="lowKashida"/>
        <w:rPr>
          <w:rFonts w:asciiTheme="minorBidi" w:hAnsiTheme="minorBidi" w:cstheme="minorBidi"/>
        </w:rPr>
      </w:pPr>
      <w:r w:rsidRPr="00D67EDA">
        <w:rPr>
          <w:rFonts w:asciiTheme="minorBidi" w:hAnsiTheme="minorBidi" w:cstheme="minorBidi"/>
          <w:b/>
          <w:bCs/>
          <w:rtl/>
        </w:rPr>
        <w:t>التحدي</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كيف يمكن للقاضي الأردني قبول "سجل ملكية رقمي" أو "حوالة مالية مشفرة" كبينة قاطعة</w:t>
      </w:r>
      <w:r w:rsidR="004D64B0">
        <w:rPr>
          <w:rStyle w:val="FootnoteReference"/>
          <w:rFonts w:asciiTheme="minorBidi" w:hAnsiTheme="minorBidi" w:cstheme="minorBidi"/>
          <w:rtl/>
        </w:rPr>
        <w:t>(</w:t>
      </w:r>
      <w:r w:rsidR="004D64B0" w:rsidRPr="00D67EDA">
        <w:rPr>
          <w:rStyle w:val="FootnoteReference"/>
          <w:rFonts w:asciiTheme="minorBidi" w:hAnsiTheme="minorBidi" w:cstheme="minorBidi"/>
          <w:rtl/>
        </w:rPr>
        <w:footnoteReference w:id="15"/>
      </w:r>
      <w:r w:rsidR="004D64B0">
        <w:rPr>
          <w:rStyle w:val="FootnoteReference"/>
          <w:rFonts w:asciiTheme="minorBidi" w:hAnsiTheme="minorBidi" w:cstheme="minorBidi"/>
          <w:rtl/>
        </w:rPr>
        <w:t>)</w:t>
      </w:r>
      <w:r w:rsidRPr="00D67EDA">
        <w:rPr>
          <w:rFonts w:asciiTheme="minorBidi" w:hAnsiTheme="minorBidi" w:cstheme="minorBidi"/>
          <w:rtl/>
        </w:rPr>
        <w:t>، بينما القانون لا يعترف إلا بالسجلات التي يمكن نسبتها لجهة مادية أو نظام محدد؟ إن عدم وجود نص ينظم "السجلات الموزعة" يجعل هذه الأدلة في مهب الريح أمام القضاء</w:t>
      </w:r>
      <w:r w:rsidRPr="00D67EDA">
        <w:rPr>
          <w:rFonts w:asciiTheme="minorBidi" w:hAnsiTheme="minorBidi" w:cstheme="minorBidi"/>
        </w:rPr>
        <w:t>.</w:t>
      </w:r>
    </w:p>
    <w:p w14:paraId="6B196C8F" w14:textId="77777777" w:rsidR="00D67EDA" w:rsidRPr="00D67EDA" w:rsidRDefault="00D67EDA" w:rsidP="00D67EDA">
      <w:pPr>
        <w:pStyle w:val="Heading3"/>
        <w:spacing w:before="0"/>
        <w:jc w:val="lowKashida"/>
        <w:rPr>
          <w:rFonts w:asciiTheme="minorBidi" w:hAnsiTheme="minorBidi" w:cstheme="minorBidi"/>
          <w:szCs w:val="24"/>
        </w:rPr>
      </w:pPr>
      <w:r w:rsidRPr="00D67EDA">
        <w:rPr>
          <w:rFonts w:asciiTheme="minorBidi" w:hAnsiTheme="minorBidi" w:cstheme="minorBidi"/>
          <w:szCs w:val="24"/>
          <w:rtl/>
        </w:rPr>
        <w:t>ثانياً: العقود الذكية</w:t>
      </w:r>
      <w:r w:rsidRPr="00D67EDA">
        <w:rPr>
          <w:rFonts w:asciiTheme="minorBidi" w:hAnsiTheme="minorBidi" w:cstheme="minorBidi"/>
          <w:szCs w:val="24"/>
        </w:rPr>
        <w:t xml:space="preserve"> (Smart Contracts) </w:t>
      </w:r>
      <w:r w:rsidRPr="00D67EDA">
        <w:rPr>
          <w:rFonts w:asciiTheme="minorBidi" w:hAnsiTheme="minorBidi" w:cstheme="minorBidi"/>
          <w:szCs w:val="24"/>
          <w:rtl/>
        </w:rPr>
        <w:t>كبينة إثبات</w:t>
      </w:r>
    </w:p>
    <w:p w14:paraId="4966A4DE"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بدأت بعض الشركات في الأردن تعتمد العقود الذكية التي تنفذ ذاتياً</w:t>
      </w:r>
      <w:r w:rsidRPr="00D67EDA">
        <w:rPr>
          <w:rFonts w:asciiTheme="minorBidi" w:hAnsiTheme="minorBidi" w:cstheme="minorBidi"/>
        </w:rPr>
        <w:t>.</w:t>
      </w:r>
    </w:p>
    <w:p w14:paraId="01CFC513" w14:textId="2A3D65D4" w:rsidR="00D67EDA" w:rsidRPr="00D67EDA" w:rsidRDefault="00D67EDA" w:rsidP="00D67EDA">
      <w:pPr>
        <w:pStyle w:val="NormalWeb"/>
        <w:numPr>
          <w:ilvl w:val="0"/>
          <w:numId w:val="247"/>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lastRenderedPageBreak/>
        <w:t>التوصيف القانوني</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هل يعد كود البرمجة</w:t>
      </w:r>
      <w:r w:rsidRPr="00D67EDA">
        <w:rPr>
          <w:rFonts w:asciiTheme="minorBidi" w:hAnsiTheme="minorBidi" w:cstheme="minorBidi"/>
        </w:rPr>
        <w:t xml:space="preserve"> (Programming Code) "</w:t>
      </w:r>
      <w:r w:rsidRPr="00D67EDA">
        <w:rPr>
          <w:rFonts w:asciiTheme="minorBidi" w:hAnsiTheme="minorBidi" w:cstheme="minorBidi"/>
          <w:rtl/>
        </w:rPr>
        <w:t>كتابة" بالمعنى المقصود في المادة (10) من قانون البينات؟</w:t>
      </w:r>
      <w:r w:rsidR="004D64B0">
        <w:rPr>
          <w:rStyle w:val="FootnoteReference"/>
          <w:rFonts w:asciiTheme="minorBidi" w:hAnsiTheme="minorBidi" w:cstheme="minorBidi"/>
          <w:rtl/>
        </w:rPr>
        <w:t>(</w:t>
      </w:r>
      <w:r w:rsidR="004D64B0" w:rsidRPr="00D67EDA">
        <w:rPr>
          <w:rStyle w:val="FootnoteReference"/>
          <w:rFonts w:asciiTheme="minorBidi" w:hAnsiTheme="minorBidi" w:cstheme="minorBidi"/>
          <w:rtl/>
        </w:rPr>
        <w:footnoteReference w:id="16"/>
      </w:r>
      <w:r w:rsidR="004D64B0">
        <w:rPr>
          <w:rStyle w:val="FootnoteReference"/>
          <w:rFonts w:asciiTheme="minorBidi" w:hAnsiTheme="minorBidi" w:cstheme="minorBidi"/>
          <w:rtl/>
        </w:rPr>
        <w:t>)</w:t>
      </w:r>
    </w:p>
    <w:p w14:paraId="1AC81703" w14:textId="77777777" w:rsidR="00D67EDA" w:rsidRPr="00D67EDA" w:rsidRDefault="00D67EDA" w:rsidP="00D67EDA">
      <w:pPr>
        <w:pStyle w:val="NormalWeb"/>
        <w:numPr>
          <w:ilvl w:val="0"/>
          <w:numId w:val="247"/>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إن العقود الذكية لا تُكتب بلغة البشر بل بلغة الحاسوب، وقانون البينات الأردني لا يزال يشترط في السندات أن تكون "مكتوبة"، وهو ما يضعنا أمام أزمة "تفسير النص"، حيث يتطلب الأمر تحديثاً تشريعياً يعترف باللغة البرمجية كصورة من صور التعبير عن الإرادة القابلة للإثبات</w:t>
      </w:r>
      <w:r w:rsidRPr="00D67EDA">
        <w:rPr>
          <w:rFonts w:asciiTheme="minorBidi" w:hAnsiTheme="minorBidi" w:cstheme="minorBidi"/>
        </w:rPr>
        <w:t>.</w:t>
      </w:r>
    </w:p>
    <w:p w14:paraId="09278EE9" w14:textId="77777777" w:rsidR="00D67EDA" w:rsidRPr="00D67EDA" w:rsidRDefault="00D67EDA" w:rsidP="00D67EDA">
      <w:pPr>
        <w:pStyle w:val="Heading3"/>
        <w:spacing w:before="0"/>
        <w:jc w:val="lowKashida"/>
        <w:rPr>
          <w:rFonts w:asciiTheme="minorBidi" w:hAnsiTheme="minorBidi" w:cstheme="minorBidi"/>
          <w:szCs w:val="24"/>
        </w:rPr>
      </w:pPr>
      <w:r w:rsidRPr="00D67EDA">
        <w:rPr>
          <w:rFonts w:asciiTheme="minorBidi" w:hAnsiTheme="minorBidi" w:cstheme="minorBidi"/>
          <w:szCs w:val="24"/>
          <w:rtl/>
        </w:rPr>
        <w:t>ثالثاً: مخاطر الذكاء الاصطناعي</w:t>
      </w:r>
      <w:r w:rsidRPr="00D67EDA">
        <w:rPr>
          <w:rFonts w:asciiTheme="minorBidi" w:hAnsiTheme="minorBidi" w:cstheme="minorBidi"/>
          <w:szCs w:val="24"/>
        </w:rPr>
        <w:t xml:space="preserve"> (</w:t>
      </w:r>
      <w:r w:rsidRPr="00D67EDA">
        <w:rPr>
          <w:rFonts w:asciiTheme="minorBidi" w:hAnsiTheme="minorBidi" w:cstheme="minorBidi"/>
          <w:szCs w:val="24"/>
          <w:rtl/>
        </w:rPr>
        <w:t>التزييف العميق</w:t>
      </w:r>
      <w:r w:rsidRPr="00D67EDA">
        <w:rPr>
          <w:rFonts w:asciiTheme="minorBidi" w:hAnsiTheme="minorBidi" w:cstheme="minorBidi"/>
          <w:szCs w:val="24"/>
        </w:rPr>
        <w:t xml:space="preserve"> - Deepfake)</w:t>
      </w:r>
    </w:p>
    <w:p w14:paraId="4DA22955"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يواجه القضاء الأردني تحدياً مرعباً يتمثل في الأدلة المصطنعة بواسطة الذكاء الاصطناعي، حيث يمكن إنشاء فيديوهات أو تسجيلات صوتية "مطابقة تماماً للواقع</w:t>
      </w:r>
      <w:r w:rsidRPr="00D67EDA">
        <w:rPr>
          <w:rFonts w:asciiTheme="minorBidi" w:hAnsiTheme="minorBidi" w:cstheme="minorBidi"/>
        </w:rPr>
        <w:t>" (Deepfake).</w:t>
      </w:r>
    </w:p>
    <w:p w14:paraId="61186D8E" w14:textId="77777777" w:rsidR="00D67EDA" w:rsidRPr="00D67EDA" w:rsidRDefault="00D67EDA" w:rsidP="00D67EDA">
      <w:pPr>
        <w:pStyle w:val="NormalWeb"/>
        <w:numPr>
          <w:ilvl w:val="0"/>
          <w:numId w:val="248"/>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نقد المادة</w:t>
      </w:r>
      <w:r w:rsidRPr="00D67EDA">
        <w:rPr>
          <w:rFonts w:asciiTheme="minorBidi" w:hAnsiTheme="minorBidi" w:cstheme="minorBidi"/>
          <w:b/>
          <w:bCs/>
        </w:rPr>
        <w:t xml:space="preserve"> (52):</w:t>
      </w:r>
      <w:r w:rsidRPr="00D67EDA">
        <w:rPr>
          <w:rFonts w:asciiTheme="minorBidi" w:hAnsiTheme="minorBidi" w:cstheme="minorBidi"/>
        </w:rPr>
        <w:t xml:space="preserve"> </w:t>
      </w:r>
      <w:r w:rsidRPr="00D67EDA">
        <w:rPr>
          <w:rFonts w:asciiTheme="minorBidi" w:hAnsiTheme="minorBidi" w:cstheme="minorBidi"/>
          <w:rtl/>
        </w:rPr>
        <w:t>في ظل هذه التقنية، لم يعد "الاقتناع الوجداني" للقاضي كافياً. فالمادة (52) تمنح القاضي حرية التقدير، ولكن أمام "تزييف" لا يدركه البشر، يصبح القاضي بحاجة إلى "قواعد إثبات تقنية ملزمة" وليس مجرد سلطة تقديرية</w:t>
      </w:r>
      <w:r w:rsidRPr="00D67EDA">
        <w:rPr>
          <w:rFonts w:asciiTheme="minorBidi" w:hAnsiTheme="minorBidi" w:cstheme="minorBidi"/>
        </w:rPr>
        <w:t>.</w:t>
      </w:r>
    </w:p>
    <w:p w14:paraId="012FCBF6" w14:textId="77777777" w:rsidR="00D67EDA" w:rsidRPr="00D67EDA" w:rsidRDefault="00D67EDA" w:rsidP="00D67EDA">
      <w:pPr>
        <w:pStyle w:val="NormalWeb"/>
        <w:numPr>
          <w:ilvl w:val="0"/>
          <w:numId w:val="248"/>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المقترح</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ضرورة تضمين قانون البينات نصاً يفرض "البصمة الرقمية" أو "الوسم المائي الرقمي" للأدلة المرئية والمسموعة لضمان عدم تعرضها للتلاعب بالذكاء الاصطناعي</w:t>
      </w:r>
      <w:r w:rsidRPr="00D67EDA">
        <w:rPr>
          <w:rFonts w:asciiTheme="minorBidi" w:hAnsiTheme="minorBidi" w:cstheme="minorBidi"/>
        </w:rPr>
        <w:t>.</w:t>
      </w:r>
    </w:p>
    <w:p w14:paraId="21B05B02"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 xml:space="preserve"> الأثر الاقتصادي لجمود قانون البينات رقم (30) لسنة 1952</w:t>
      </w:r>
    </w:p>
    <w:p w14:paraId="05A02FE0"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إن تطوير القانون ليس ترفاً فكرياً، بل هو ضرورة اقتصادية لدعم "رؤية التحديث الاقتصادي 2033" في الأردن</w:t>
      </w:r>
      <w:r w:rsidRPr="00D67EDA">
        <w:rPr>
          <w:rFonts w:asciiTheme="minorBidi" w:hAnsiTheme="minorBidi" w:cstheme="minorBidi"/>
        </w:rPr>
        <w:t>:</w:t>
      </w:r>
    </w:p>
    <w:p w14:paraId="6D5962AD" w14:textId="77777777" w:rsidR="00D67EDA" w:rsidRPr="00D67EDA" w:rsidRDefault="00D67EDA" w:rsidP="00D67EDA">
      <w:pPr>
        <w:pStyle w:val="NormalWeb"/>
        <w:numPr>
          <w:ilvl w:val="0"/>
          <w:numId w:val="249"/>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جذب الاستثمار</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المستثمر الأجنبي لن يطمئن لبيئة قانونية لا تعترف بالعقود الرقمية أو سجلات "البلوكشين" كأدلة قاطعة</w:t>
      </w:r>
      <w:r w:rsidRPr="00D67EDA">
        <w:rPr>
          <w:rFonts w:asciiTheme="minorBidi" w:hAnsiTheme="minorBidi" w:cstheme="minorBidi"/>
        </w:rPr>
        <w:t>.</w:t>
      </w:r>
    </w:p>
    <w:p w14:paraId="192B752F" w14:textId="77777777" w:rsidR="00D67EDA" w:rsidRPr="00D67EDA" w:rsidRDefault="00D67EDA" w:rsidP="00D67EDA">
      <w:pPr>
        <w:pStyle w:val="NormalWeb"/>
        <w:numPr>
          <w:ilvl w:val="0"/>
          <w:numId w:val="249"/>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التجارة الإلكترونية</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يعتمد نمو هذا القطاع في الأردن على سرعة "الإثبات الرقمي" عند وقوع نزاعات حول التسليم أو الدفع، والبطء الحالي في تقدير هذه الأدلة يكبد الشركات خسائر مالية</w:t>
      </w:r>
      <w:r w:rsidRPr="00D67EDA">
        <w:rPr>
          <w:rFonts w:asciiTheme="minorBidi" w:hAnsiTheme="minorBidi" w:cstheme="minorBidi"/>
        </w:rPr>
        <w:t>.</w:t>
      </w:r>
    </w:p>
    <w:p w14:paraId="333B3E5A" w14:textId="77777777" w:rsidR="00D67EDA" w:rsidRPr="00D67EDA" w:rsidRDefault="00D67EDA" w:rsidP="00D67EDA">
      <w:pPr>
        <w:pStyle w:val="NormalWeb"/>
        <w:numPr>
          <w:ilvl w:val="0"/>
          <w:numId w:val="249"/>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تخفيف العبء عن المحاكم</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إن الاعتراف الصريح والمباشر بالأدلة الرقمية (دون الحاجة لخبراء في كل قضية) سيؤدي إلى خفض أمد التقاضي بنسبة قد تتجاوز 40% في القضايا التجارية</w:t>
      </w:r>
      <w:r w:rsidRPr="00D67EDA">
        <w:rPr>
          <w:rFonts w:asciiTheme="minorBidi" w:hAnsiTheme="minorBidi" w:cstheme="minorBidi"/>
        </w:rPr>
        <w:t>.</w:t>
      </w:r>
    </w:p>
    <w:p w14:paraId="4EF121CF" w14:textId="77777777" w:rsidR="00D67EDA" w:rsidRDefault="00D67EDA" w:rsidP="00D67EDA">
      <w:pPr>
        <w:pStyle w:val="NormalWeb"/>
        <w:bidi/>
        <w:spacing w:before="0" w:beforeAutospacing="0" w:after="0" w:afterAutospacing="0"/>
        <w:jc w:val="center"/>
        <w:rPr>
          <w:rFonts w:asciiTheme="minorBidi" w:hAnsiTheme="minorBidi" w:cstheme="minorBidi"/>
          <w:b/>
          <w:bCs/>
          <w:rtl/>
        </w:rPr>
      </w:pPr>
      <w:r w:rsidRPr="00D67EDA">
        <w:rPr>
          <w:rFonts w:asciiTheme="minorBidi" w:hAnsiTheme="minorBidi" w:cstheme="minorBidi"/>
          <w:b/>
          <w:bCs/>
          <w:rtl/>
        </w:rPr>
        <w:t>المبحث الثالث</w:t>
      </w:r>
    </w:p>
    <w:p w14:paraId="1410ED55" w14:textId="4DC9B9FE" w:rsidR="00D67EDA" w:rsidRPr="00D67EDA" w:rsidRDefault="00D67EDA" w:rsidP="00D67EDA">
      <w:pPr>
        <w:pStyle w:val="NormalWeb"/>
        <w:bidi/>
        <w:spacing w:before="0" w:beforeAutospacing="0" w:after="0" w:afterAutospacing="0"/>
        <w:jc w:val="center"/>
        <w:rPr>
          <w:rFonts w:asciiTheme="minorBidi" w:hAnsiTheme="minorBidi" w:cstheme="minorBidi"/>
          <w:b/>
          <w:bCs/>
        </w:rPr>
      </w:pPr>
      <w:r w:rsidRPr="00D67EDA">
        <w:rPr>
          <w:rFonts w:asciiTheme="minorBidi" w:hAnsiTheme="minorBidi" w:cstheme="minorBidi"/>
          <w:b/>
          <w:bCs/>
          <w:rtl/>
        </w:rPr>
        <w:t>التكامل والتصادم بين قانون البينات وقانون المعاملات الإلكترونية</w:t>
      </w:r>
    </w:p>
    <w:p w14:paraId="686D9E1C"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tl/>
        </w:rPr>
      </w:pPr>
      <w:r w:rsidRPr="00D67EDA">
        <w:rPr>
          <w:rFonts w:asciiTheme="minorBidi" w:hAnsiTheme="minorBidi" w:cstheme="minorBidi"/>
          <w:rtl/>
        </w:rPr>
        <w:t>يُعد قانون المعاملات الإلكترونية الأردني رقم (15) لسنة 2015 "القانون الخاص" الذي نظم الجوانب التقنية، بينما يظل قانون البينات هو "القانون العام". وهنا تبرز إشكالية العلاقة بين العام والخاص في ظل التحديات الرقمية</w:t>
      </w:r>
      <w:r w:rsidRPr="00D67EDA">
        <w:rPr>
          <w:rFonts w:asciiTheme="minorBidi" w:hAnsiTheme="minorBidi" w:cstheme="minorBidi"/>
        </w:rPr>
        <w:t>.</w:t>
      </w:r>
    </w:p>
    <w:p w14:paraId="50578CE9"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حجية السجل الإلكتروني بين الإطلاق والتقييد</w:t>
      </w:r>
    </w:p>
    <w:p w14:paraId="49C5A055"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tl/>
        </w:rPr>
      </w:pPr>
      <w:r w:rsidRPr="00D67EDA">
        <w:rPr>
          <w:rFonts w:asciiTheme="minorBidi" w:hAnsiTheme="minorBidi" w:cstheme="minorBidi"/>
          <w:rtl/>
        </w:rPr>
        <w:t>جاءت المادة (7) من قانون المعاملات الإلكترونية لتقرر أن للسجل الإلكتروني حجية السند العرفي إذا استوفى شروطاً تقنية محددة</w:t>
      </w:r>
      <w:r w:rsidRPr="00D67EDA">
        <w:rPr>
          <w:rFonts w:asciiTheme="minorBidi" w:hAnsiTheme="minorBidi" w:cstheme="minorBidi"/>
        </w:rPr>
        <w:t>.</w:t>
      </w:r>
    </w:p>
    <w:p w14:paraId="3DA4C6FA"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أولاً: معضلة "التوقيع الإلكتروني المصدق</w:t>
      </w:r>
      <w:r w:rsidRPr="00D67EDA">
        <w:rPr>
          <w:rFonts w:asciiTheme="minorBidi" w:hAnsiTheme="minorBidi" w:cstheme="minorBidi"/>
        </w:rPr>
        <w:t>"</w:t>
      </w:r>
    </w:p>
    <w:p w14:paraId="75724673"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يشترط قانون المعاملات الإلكترونية لكي يتمتع السجل بحجية "السند الرسمي" أن يكون التوقيع الإلكتروني مصدقاً من جهة معتمدة (مثل هيئة تنظيم قطاع الاتصالات)</w:t>
      </w:r>
      <w:r w:rsidRPr="00D67EDA">
        <w:rPr>
          <w:rFonts w:asciiTheme="minorBidi" w:hAnsiTheme="minorBidi" w:cstheme="minorBidi"/>
        </w:rPr>
        <w:t>.</w:t>
      </w:r>
    </w:p>
    <w:p w14:paraId="3C059D9E" w14:textId="77777777" w:rsidR="00D67EDA" w:rsidRPr="00D67EDA" w:rsidRDefault="00D67EDA" w:rsidP="00D67EDA">
      <w:pPr>
        <w:pStyle w:val="NormalWeb"/>
        <w:numPr>
          <w:ilvl w:val="0"/>
          <w:numId w:val="250"/>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الإشكالية</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في الواقع العملي، أغلب المعاملات المدنية والتجارية في الأردن (عقود بيع، اتفاقيات توريد عبر الإيميل) لا تستخدم التوقيع المصدق، بل تستخدم التوقيع الإلكتروني البسيط أو مجرد الموافقة الرقمية</w:t>
      </w:r>
      <w:r w:rsidRPr="00D67EDA">
        <w:rPr>
          <w:rFonts w:asciiTheme="minorBidi" w:hAnsiTheme="minorBidi" w:cstheme="minorBidi"/>
        </w:rPr>
        <w:t>.</w:t>
      </w:r>
    </w:p>
    <w:p w14:paraId="3E7C8958" w14:textId="6312F5F7" w:rsidR="00D67EDA" w:rsidRPr="00D67EDA" w:rsidRDefault="00D67EDA" w:rsidP="00D67EDA">
      <w:pPr>
        <w:pStyle w:val="NormalWeb"/>
        <w:numPr>
          <w:ilvl w:val="0"/>
          <w:numId w:val="250"/>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التصادم مع قانون البينات</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قانون البينات في مادته (10) يعطي الحجية لكل ما صدر عنه توقيع أو بصمة. فإذا قدم الخصم بريداً إلكترونياً غير "مصدق"، فهل يطبق القاضي قانون المعاملات (فيستبعد الحجية الكاملة) أم يطبق قانون البينات (كعرف كتابي)؟ هذا التشتت يضعف من استقرار المراكز القانونية</w:t>
      </w:r>
      <w:r w:rsidR="004D64B0">
        <w:rPr>
          <w:rStyle w:val="FootnoteReference"/>
          <w:rFonts w:asciiTheme="minorBidi" w:hAnsiTheme="minorBidi" w:cstheme="minorBidi"/>
          <w:rtl/>
        </w:rPr>
        <w:t>(</w:t>
      </w:r>
      <w:r w:rsidR="004D64B0">
        <w:rPr>
          <w:rStyle w:val="FootnoteReference"/>
          <w:rFonts w:asciiTheme="minorBidi" w:hAnsiTheme="minorBidi" w:cstheme="minorBidi"/>
          <w:rtl/>
        </w:rPr>
        <w:footnoteReference w:id="17"/>
      </w:r>
      <w:r w:rsidR="004D64B0">
        <w:rPr>
          <w:rStyle w:val="FootnoteReference"/>
          <w:rFonts w:asciiTheme="minorBidi" w:hAnsiTheme="minorBidi" w:cstheme="minorBidi"/>
          <w:rtl/>
        </w:rPr>
        <w:t>)</w:t>
      </w:r>
      <w:r>
        <w:rPr>
          <w:rFonts w:asciiTheme="minorBidi" w:hAnsiTheme="minorBidi" w:cstheme="minorBidi" w:hint="cs"/>
          <w:rtl/>
        </w:rPr>
        <w:t>.</w:t>
      </w:r>
    </w:p>
    <w:p w14:paraId="4AADD1BB" w14:textId="77777777" w:rsidR="00D67EDA" w:rsidRPr="00D67EDA" w:rsidRDefault="00D67EDA" w:rsidP="00D67EDA">
      <w:pPr>
        <w:pStyle w:val="Heading3"/>
        <w:spacing w:before="0"/>
        <w:jc w:val="lowKashida"/>
        <w:rPr>
          <w:rFonts w:asciiTheme="minorBidi" w:hAnsiTheme="minorBidi" w:cstheme="minorBidi"/>
          <w:szCs w:val="24"/>
        </w:rPr>
      </w:pPr>
      <w:r w:rsidRPr="00D67EDA">
        <w:rPr>
          <w:rFonts w:asciiTheme="minorBidi" w:hAnsiTheme="minorBidi" w:cstheme="minorBidi"/>
          <w:szCs w:val="24"/>
          <w:rtl/>
        </w:rPr>
        <w:t>ثانياً: مفهوم "القبول الإلكتروني" وأثره في الإثبات</w:t>
      </w:r>
    </w:p>
    <w:p w14:paraId="0953C7D5"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وفقاً لقانون البينات، العقد يتم بتوافق الإرادتين. وفي العالم الرقمي، يتم التعبير عن الإرادة عبر "الضغط على أيقونة موافق</w:t>
      </w:r>
      <w:r w:rsidRPr="00D67EDA">
        <w:rPr>
          <w:rFonts w:asciiTheme="minorBidi" w:hAnsiTheme="minorBidi" w:cstheme="minorBidi"/>
        </w:rPr>
        <w:t>" (Click-wrap agreements).</w:t>
      </w:r>
    </w:p>
    <w:p w14:paraId="6E25E222" w14:textId="25EE2F47" w:rsidR="00D67EDA" w:rsidRPr="00D67EDA" w:rsidRDefault="00D67EDA" w:rsidP="00D67EDA">
      <w:pPr>
        <w:pStyle w:val="NormalWeb"/>
        <w:numPr>
          <w:ilvl w:val="0"/>
          <w:numId w:val="251"/>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التحدي</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قانون البينات الأردني لا يزال يربط الكتابة بـ "الرقم والنقش"، في حين أن القبول الرقمي هو "شيفرة برمجية". إن غياب الربط الصريح بين المادة (47) بينات والمادة (10) معاملات إلكترونية يجعل إثبات العقود الرقمية في الأردن عرضة للطعن المستمر بجهالة "هوية الموقع</w:t>
      </w:r>
      <w:r w:rsidR="004D64B0">
        <w:rPr>
          <w:rStyle w:val="FootnoteReference"/>
          <w:rFonts w:asciiTheme="minorBidi" w:hAnsiTheme="minorBidi" w:cstheme="minorBidi"/>
          <w:rtl/>
        </w:rPr>
        <w:t>(</w:t>
      </w:r>
      <w:r w:rsidR="004D64B0">
        <w:rPr>
          <w:rStyle w:val="FootnoteReference"/>
          <w:rFonts w:asciiTheme="minorBidi" w:hAnsiTheme="minorBidi" w:cstheme="minorBidi"/>
          <w:rtl/>
        </w:rPr>
        <w:footnoteReference w:id="18"/>
      </w:r>
      <w:r w:rsidR="004D64B0">
        <w:rPr>
          <w:rStyle w:val="FootnoteReference"/>
          <w:rFonts w:asciiTheme="minorBidi" w:hAnsiTheme="minorBidi" w:cstheme="minorBidi"/>
          <w:rtl/>
        </w:rPr>
        <w:t>)</w:t>
      </w:r>
      <w:r w:rsidRPr="00D67EDA">
        <w:rPr>
          <w:rFonts w:asciiTheme="minorBidi" w:hAnsiTheme="minorBidi" w:cstheme="minorBidi"/>
        </w:rPr>
        <w:t>".</w:t>
      </w:r>
    </w:p>
    <w:p w14:paraId="3E61358D"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التنازع الإجرائي في تقديم البينة الرقمية</w:t>
      </w:r>
    </w:p>
    <w:p w14:paraId="32503E29"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أولاً: إشكالية "الإنكار والطعن</w:t>
      </w:r>
      <w:r w:rsidRPr="00D67EDA">
        <w:rPr>
          <w:rFonts w:asciiTheme="minorBidi" w:hAnsiTheme="minorBidi" w:cstheme="minorBidi"/>
          <w:b/>
          <w:bCs/>
        </w:rPr>
        <w:t>"</w:t>
      </w:r>
      <w:r w:rsidRPr="00D67EDA">
        <w:rPr>
          <w:rFonts w:asciiTheme="minorBidi" w:hAnsiTheme="minorBidi" w:cstheme="minorBidi"/>
          <w:b/>
          <w:bCs/>
          <w:rtl/>
        </w:rPr>
        <w:t xml:space="preserve"> </w:t>
      </w:r>
      <w:r w:rsidRPr="00D67EDA">
        <w:rPr>
          <w:rFonts w:asciiTheme="minorBidi" w:hAnsiTheme="minorBidi" w:cstheme="minorBidi"/>
          <w:rtl/>
        </w:rPr>
        <w:t>في قانون البينات، إذا أنكر الخصم صحة التوقيع، يتم اللجوء للمضاهاة والخبرة</w:t>
      </w:r>
      <w:r w:rsidRPr="00D67EDA">
        <w:rPr>
          <w:rFonts w:asciiTheme="minorBidi" w:hAnsiTheme="minorBidi" w:cstheme="minorBidi"/>
        </w:rPr>
        <w:t>.</w:t>
      </w:r>
    </w:p>
    <w:p w14:paraId="4B6D7FDD" w14:textId="77777777" w:rsidR="00D67EDA" w:rsidRPr="00D67EDA" w:rsidRDefault="00D67EDA" w:rsidP="00D67EDA">
      <w:pPr>
        <w:pStyle w:val="NormalWeb"/>
        <w:numPr>
          <w:ilvl w:val="0"/>
          <w:numId w:val="252"/>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في الواقع الرقمي</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لا توجد "مضاهاة خطية". قانون المعاملات الإلكترونية يتحدث عن "شهادة التصديق</w:t>
      </w:r>
      <w:r w:rsidRPr="00D67EDA">
        <w:rPr>
          <w:rFonts w:asciiTheme="minorBidi" w:hAnsiTheme="minorBidi" w:cstheme="minorBidi"/>
        </w:rPr>
        <w:t>".</w:t>
      </w:r>
    </w:p>
    <w:p w14:paraId="1EA847B6" w14:textId="7E29AB07" w:rsidR="00D67EDA" w:rsidRPr="00D67EDA" w:rsidRDefault="00D67EDA" w:rsidP="00D67EDA">
      <w:pPr>
        <w:pStyle w:val="NormalWeb"/>
        <w:numPr>
          <w:ilvl w:val="0"/>
          <w:numId w:val="252"/>
        </w:numPr>
        <w:bidi/>
        <w:spacing w:before="0" w:beforeAutospacing="0" w:after="0" w:afterAutospacing="0"/>
        <w:jc w:val="lowKashida"/>
        <w:rPr>
          <w:rFonts w:asciiTheme="minorBidi" w:hAnsiTheme="minorBidi" w:cstheme="minorBidi"/>
          <w:rtl/>
        </w:rPr>
      </w:pPr>
      <w:r w:rsidRPr="00D67EDA">
        <w:rPr>
          <w:rFonts w:asciiTheme="minorBidi" w:hAnsiTheme="minorBidi" w:cstheme="minorBidi"/>
          <w:b/>
          <w:bCs/>
          <w:rtl/>
        </w:rPr>
        <w:t>الفجوة</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إذا لم توجد شهادة تصديق (وهو الغالب)، يعود القاضي لقانون البينات الذي يفتقر لآليات "المضاهاة الرقمية". هذا يؤدي إلى إطالة أمد التقاضي حيث تضطر المحكمة لتعيين خبراء فنيين لإثبات "عنوان البروتوكول</w:t>
      </w:r>
      <w:r w:rsidRPr="00D67EDA">
        <w:rPr>
          <w:rFonts w:asciiTheme="minorBidi" w:hAnsiTheme="minorBidi" w:cstheme="minorBidi"/>
        </w:rPr>
        <w:t xml:space="preserve">" (IP Address) </w:t>
      </w:r>
      <w:r w:rsidRPr="00D67EDA">
        <w:rPr>
          <w:rFonts w:asciiTheme="minorBidi" w:hAnsiTheme="minorBidi" w:cstheme="minorBidi"/>
          <w:rtl/>
        </w:rPr>
        <w:t>و"سجلات الولوج</w:t>
      </w:r>
      <w:r w:rsidRPr="00D67EDA">
        <w:rPr>
          <w:rFonts w:asciiTheme="minorBidi" w:hAnsiTheme="minorBidi" w:cstheme="minorBidi"/>
        </w:rPr>
        <w:t>" (Log Files)</w:t>
      </w:r>
      <w:r w:rsidRPr="00D67EDA">
        <w:rPr>
          <w:rFonts w:asciiTheme="minorBidi" w:hAnsiTheme="minorBidi" w:cstheme="minorBidi"/>
          <w:rtl/>
        </w:rPr>
        <w:t>، وهو إجراء لم ينص عليه قانون البينات صراحة</w:t>
      </w:r>
      <w:r w:rsidR="004D64B0">
        <w:rPr>
          <w:rStyle w:val="FootnoteReference"/>
          <w:rFonts w:asciiTheme="minorBidi" w:hAnsiTheme="minorBidi" w:cstheme="minorBidi"/>
          <w:rtl/>
        </w:rPr>
        <w:t>(</w:t>
      </w:r>
      <w:r w:rsidR="004D64B0">
        <w:rPr>
          <w:rStyle w:val="FootnoteReference"/>
          <w:rFonts w:asciiTheme="minorBidi" w:hAnsiTheme="minorBidi" w:cstheme="minorBidi"/>
          <w:rtl/>
        </w:rPr>
        <w:footnoteReference w:id="19"/>
      </w:r>
      <w:r w:rsidR="004D64B0">
        <w:rPr>
          <w:rStyle w:val="FootnoteReference"/>
          <w:rFonts w:asciiTheme="minorBidi" w:hAnsiTheme="minorBidi" w:cstheme="minorBidi"/>
          <w:rtl/>
        </w:rPr>
        <w:t>)</w:t>
      </w:r>
      <w:r>
        <w:rPr>
          <w:rFonts w:asciiTheme="minorBidi" w:hAnsiTheme="minorBidi" w:cstheme="minorBidi" w:hint="cs"/>
          <w:rtl/>
        </w:rPr>
        <w:t>.</w:t>
      </w:r>
    </w:p>
    <w:p w14:paraId="1E33AD98" w14:textId="13AAE88E"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ثانياً: نسخ السجل الإلكتروني وحجية المخرجات</w:t>
      </w:r>
    </w:p>
    <w:p w14:paraId="3F975618"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تسمح المادة (47) من قانون البينات بتقديم "مستخرجات" الحاسوب</w:t>
      </w:r>
      <w:r w:rsidRPr="00D67EDA">
        <w:rPr>
          <w:rFonts w:asciiTheme="minorBidi" w:hAnsiTheme="minorBidi" w:cstheme="minorBidi"/>
        </w:rPr>
        <w:t>.</w:t>
      </w:r>
    </w:p>
    <w:p w14:paraId="2BCEA133" w14:textId="77777777" w:rsidR="00D67EDA" w:rsidRPr="00D67EDA" w:rsidRDefault="00D67EDA" w:rsidP="00D67EDA">
      <w:pPr>
        <w:pStyle w:val="NormalWeb"/>
        <w:numPr>
          <w:ilvl w:val="0"/>
          <w:numId w:val="253"/>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التناقض</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قانون المعاملات الإلكترونية يشترط لسلامة السجل أن يتم حفظه في صورته الأصلية التي أُرسل بها لضمان سلامة البيانات</w:t>
      </w:r>
      <w:r w:rsidRPr="00D67EDA">
        <w:rPr>
          <w:rFonts w:asciiTheme="minorBidi" w:hAnsiTheme="minorBidi" w:cstheme="minorBidi"/>
        </w:rPr>
        <w:t xml:space="preserve"> (Integrity).</w:t>
      </w:r>
    </w:p>
    <w:p w14:paraId="310AEA22" w14:textId="04712556" w:rsidR="00D67EDA" w:rsidRPr="00D67EDA" w:rsidRDefault="00D67EDA" w:rsidP="00D67EDA">
      <w:pPr>
        <w:pStyle w:val="NormalWeb"/>
        <w:numPr>
          <w:ilvl w:val="0"/>
          <w:numId w:val="253"/>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lastRenderedPageBreak/>
        <w:t>الواقع القضائي</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المحاكم الأردنية غالباً ما تقبل "ورقة مطبوعة" من الإيميل (مستخرج)، بينما قانون المعاملات يؤكد أن القيمة في "البيانات الإلكترونية" ذاتها. هذا التساهل في تطبيق المعايير الفنية (بناءً على قانون البينات القديم) قد يؤدي إلى قبول أدلة "معدلة أو مزورة" يسهل التلاعب بها عند الطباعة الورقية</w:t>
      </w:r>
      <w:r w:rsidR="004D64B0">
        <w:rPr>
          <w:rStyle w:val="FootnoteReference"/>
          <w:rFonts w:asciiTheme="minorBidi" w:hAnsiTheme="minorBidi" w:cstheme="minorBidi"/>
          <w:rtl/>
        </w:rPr>
        <w:t>(</w:t>
      </w:r>
      <w:r w:rsidR="004D64B0">
        <w:rPr>
          <w:rStyle w:val="FootnoteReference"/>
          <w:rFonts w:asciiTheme="minorBidi" w:hAnsiTheme="minorBidi" w:cstheme="minorBidi"/>
          <w:rtl/>
        </w:rPr>
        <w:footnoteReference w:id="20"/>
      </w:r>
      <w:r w:rsidR="004D64B0">
        <w:rPr>
          <w:rStyle w:val="FootnoteReference"/>
          <w:rFonts w:asciiTheme="minorBidi" w:hAnsiTheme="minorBidi" w:cstheme="minorBidi"/>
          <w:rtl/>
        </w:rPr>
        <w:t>)</w:t>
      </w:r>
      <w:r>
        <w:rPr>
          <w:rFonts w:asciiTheme="minorBidi" w:hAnsiTheme="minorBidi" w:cstheme="minorBidi" w:hint="cs"/>
          <w:rtl/>
        </w:rPr>
        <w:t>.</w:t>
      </w:r>
    </w:p>
    <w:p w14:paraId="0AC4F492"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نحو "قانون إثبات موحد" (الرؤية الإصلاحية)</w:t>
      </w:r>
    </w:p>
    <w:p w14:paraId="40E72CD4"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تخلص الباحثة إلى أن الحل لا يكمن في تعديلات طفيفة، بل في</w:t>
      </w:r>
      <w:r w:rsidRPr="00D67EDA">
        <w:rPr>
          <w:rFonts w:asciiTheme="minorBidi" w:hAnsiTheme="minorBidi" w:cstheme="minorBidi"/>
        </w:rPr>
        <w:t>:</w:t>
      </w:r>
    </w:p>
    <w:p w14:paraId="7FAF85CC" w14:textId="77777777" w:rsidR="00D67EDA" w:rsidRPr="00D67EDA" w:rsidRDefault="00D67EDA" w:rsidP="00D67EDA">
      <w:pPr>
        <w:pStyle w:val="NormalWeb"/>
        <w:numPr>
          <w:ilvl w:val="0"/>
          <w:numId w:val="254"/>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دمج النصوص</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إلغاء المواد المتعلقة بالإثبات الإلكتروني من قانون المعاملات الإلكترونية ودمجها في فصل مطور داخل "قانون البينات"، لتوحيد المرجعية القانونية للقاضي</w:t>
      </w:r>
      <w:r w:rsidRPr="00D67EDA">
        <w:rPr>
          <w:rFonts w:asciiTheme="minorBidi" w:hAnsiTheme="minorBidi" w:cstheme="minorBidi"/>
        </w:rPr>
        <w:t>.</w:t>
      </w:r>
    </w:p>
    <w:p w14:paraId="0BACD993" w14:textId="77777777" w:rsidR="00D67EDA" w:rsidRPr="00D67EDA" w:rsidRDefault="00D67EDA" w:rsidP="00D67EDA">
      <w:pPr>
        <w:pStyle w:val="NormalWeb"/>
        <w:numPr>
          <w:ilvl w:val="0"/>
          <w:numId w:val="254"/>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إعادة تعريف السند العرفي</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ليشمل كل وسيط رقمي يسمح بتحديد هوية صاحبه، دون اشتراط "التصديق الرسمي" إلا في العقود التي تتطلب شكلية خاصة</w:t>
      </w:r>
      <w:r w:rsidRPr="00D67EDA">
        <w:rPr>
          <w:rFonts w:asciiTheme="minorBidi" w:hAnsiTheme="minorBidi" w:cstheme="minorBidi"/>
        </w:rPr>
        <w:t>.</w:t>
      </w:r>
    </w:p>
    <w:p w14:paraId="012396A0" w14:textId="77777777" w:rsidR="00D67EDA" w:rsidRPr="00D67EDA" w:rsidRDefault="00D67EDA" w:rsidP="00D67EDA">
      <w:pPr>
        <w:pStyle w:val="NormalWeb"/>
        <w:numPr>
          <w:ilvl w:val="0"/>
          <w:numId w:val="254"/>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تطوير قواعد "الخبرة</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تعديل قانون البينات ليتضمن "نظاماً خاصاً لخبراء التكنولوجيا"، يحدد صلاحياتهم وكيفية فحص الأدلة الرقمية دون المساس بسلطة القاضي التقديرية (المادة 52)</w:t>
      </w:r>
      <w:r w:rsidRPr="00D67EDA">
        <w:rPr>
          <w:rFonts w:asciiTheme="minorBidi" w:hAnsiTheme="minorBidi" w:cstheme="minorBidi"/>
        </w:rPr>
        <w:t>.</w:t>
      </w:r>
    </w:p>
    <w:p w14:paraId="4D5630C5"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أثر التدخل التشريعي المقارن على العدالة الناجزة</w:t>
      </w:r>
    </w:p>
    <w:p w14:paraId="7E99DBB1"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أثبتت الدراسة المقارنة أن تبني "مرونة الإثبات الرقمي" أدى إلى</w:t>
      </w:r>
      <w:r w:rsidRPr="00D67EDA">
        <w:rPr>
          <w:rFonts w:asciiTheme="minorBidi" w:hAnsiTheme="minorBidi" w:cstheme="minorBidi"/>
        </w:rPr>
        <w:t>:</w:t>
      </w:r>
    </w:p>
    <w:p w14:paraId="6F8E10B5" w14:textId="77777777" w:rsidR="00D67EDA" w:rsidRPr="00D67EDA" w:rsidRDefault="00D67EDA" w:rsidP="00D67EDA">
      <w:pPr>
        <w:pStyle w:val="NormalWeb"/>
        <w:numPr>
          <w:ilvl w:val="0"/>
          <w:numId w:val="239"/>
        </w:numPr>
        <w:tabs>
          <w:tab w:val="clear" w:pos="720"/>
        </w:tabs>
        <w:bidi/>
        <w:spacing w:before="0" w:beforeAutospacing="0" w:after="0" w:afterAutospacing="0"/>
        <w:ind w:left="424"/>
        <w:jc w:val="lowKashida"/>
        <w:rPr>
          <w:rFonts w:asciiTheme="minorBidi" w:hAnsiTheme="minorBidi" w:cstheme="minorBidi"/>
        </w:rPr>
      </w:pPr>
      <w:r w:rsidRPr="00D67EDA">
        <w:rPr>
          <w:rFonts w:asciiTheme="minorBidi" w:hAnsiTheme="minorBidi" w:cstheme="minorBidi"/>
          <w:rtl/>
        </w:rPr>
        <w:t>سرعة الفصل في المنازعات</w:t>
      </w:r>
      <w:r w:rsidRPr="00D67EDA">
        <w:rPr>
          <w:rFonts w:asciiTheme="minorBidi" w:hAnsiTheme="minorBidi" w:cstheme="minorBidi"/>
        </w:rPr>
        <w:t xml:space="preserve">: </w:t>
      </w:r>
      <w:r w:rsidRPr="00D67EDA">
        <w:rPr>
          <w:rFonts w:asciiTheme="minorBidi" w:hAnsiTheme="minorBidi" w:cstheme="minorBidi"/>
          <w:rtl/>
        </w:rPr>
        <w:t>حيث لا يضطر القاضي لانتظار "أصل ورقي" قد لا يكون موجوداً أصلاً في المعاملات الحديثة</w:t>
      </w:r>
      <w:r w:rsidRPr="00D67EDA">
        <w:rPr>
          <w:rFonts w:asciiTheme="minorBidi" w:hAnsiTheme="minorBidi" w:cstheme="minorBidi"/>
        </w:rPr>
        <w:t>.</w:t>
      </w:r>
    </w:p>
    <w:p w14:paraId="3823CFE3" w14:textId="77777777" w:rsidR="00D67EDA" w:rsidRPr="00D67EDA" w:rsidRDefault="00D67EDA" w:rsidP="00D67EDA">
      <w:pPr>
        <w:pStyle w:val="NormalWeb"/>
        <w:numPr>
          <w:ilvl w:val="0"/>
          <w:numId w:val="239"/>
        </w:numPr>
        <w:tabs>
          <w:tab w:val="clear" w:pos="720"/>
        </w:tabs>
        <w:bidi/>
        <w:spacing w:before="0" w:beforeAutospacing="0" w:after="0" w:afterAutospacing="0"/>
        <w:ind w:left="424"/>
        <w:jc w:val="lowKashida"/>
        <w:rPr>
          <w:rFonts w:asciiTheme="minorBidi" w:hAnsiTheme="minorBidi" w:cstheme="minorBidi"/>
        </w:rPr>
      </w:pPr>
      <w:r w:rsidRPr="00D67EDA">
        <w:rPr>
          <w:rFonts w:asciiTheme="minorBidi" w:hAnsiTheme="minorBidi" w:cstheme="minorBidi"/>
          <w:rtl/>
        </w:rPr>
        <w:t>تقليل الكلفة</w:t>
      </w:r>
      <w:r w:rsidRPr="00D67EDA">
        <w:rPr>
          <w:rFonts w:asciiTheme="minorBidi" w:hAnsiTheme="minorBidi" w:cstheme="minorBidi"/>
        </w:rPr>
        <w:t xml:space="preserve">: </w:t>
      </w:r>
      <w:r w:rsidRPr="00D67EDA">
        <w:rPr>
          <w:rFonts w:asciiTheme="minorBidi" w:hAnsiTheme="minorBidi" w:cstheme="minorBidi"/>
          <w:rtl/>
        </w:rPr>
        <w:t>من خلال اعتماد المراسلات الرقمية كبينة دون الحاجة لترجمتها أو توثيقها ورقياً في كل مرة</w:t>
      </w:r>
      <w:r w:rsidRPr="00D67EDA">
        <w:rPr>
          <w:rFonts w:asciiTheme="minorBidi" w:hAnsiTheme="minorBidi" w:cstheme="minorBidi"/>
        </w:rPr>
        <w:t>.</w:t>
      </w:r>
    </w:p>
    <w:p w14:paraId="50EB131A" w14:textId="77777777" w:rsidR="00D67EDA" w:rsidRPr="00D67EDA" w:rsidRDefault="00D67EDA" w:rsidP="00D67EDA">
      <w:pPr>
        <w:pStyle w:val="NormalWeb"/>
        <w:numPr>
          <w:ilvl w:val="0"/>
          <w:numId w:val="239"/>
        </w:numPr>
        <w:tabs>
          <w:tab w:val="clear" w:pos="720"/>
        </w:tabs>
        <w:bidi/>
        <w:spacing w:before="0" w:beforeAutospacing="0" w:after="0" w:afterAutospacing="0"/>
        <w:ind w:left="424"/>
        <w:jc w:val="lowKashida"/>
        <w:rPr>
          <w:rFonts w:asciiTheme="minorBidi" w:hAnsiTheme="minorBidi" w:cstheme="minorBidi"/>
        </w:rPr>
      </w:pPr>
      <w:r w:rsidRPr="00D67EDA">
        <w:rPr>
          <w:rFonts w:asciiTheme="minorBidi" w:hAnsiTheme="minorBidi" w:cstheme="minorBidi"/>
          <w:rtl/>
        </w:rPr>
        <w:t>تحقيق الثقة بالمعاملات الإلكترونية</w:t>
      </w:r>
      <w:r w:rsidRPr="00D67EDA">
        <w:rPr>
          <w:rFonts w:asciiTheme="minorBidi" w:hAnsiTheme="minorBidi" w:cstheme="minorBidi"/>
        </w:rPr>
        <w:t xml:space="preserve">: </w:t>
      </w:r>
      <w:r w:rsidRPr="00D67EDA">
        <w:rPr>
          <w:rFonts w:asciiTheme="minorBidi" w:hAnsiTheme="minorBidi" w:cstheme="minorBidi"/>
          <w:rtl/>
        </w:rPr>
        <w:t>مما ينعكس إيجاباً على البيئة الاستثمارية (وهو ما يسعى إليه الأردن في رؤية التحديث الاقتصادي)</w:t>
      </w:r>
      <w:r w:rsidRPr="00D67EDA">
        <w:rPr>
          <w:rFonts w:asciiTheme="minorBidi" w:hAnsiTheme="minorBidi" w:cstheme="minorBidi"/>
        </w:rPr>
        <w:t>.</w:t>
      </w:r>
    </w:p>
    <w:p w14:paraId="5EC3BC5E" w14:textId="77777777" w:rsidR="00D67EDA" w:rsidRDefault="00D67EDA" w:rsidP="00D67EDA">
      <w:pPr>
        <w:pStyle w:val="NormalWeb"/>
        <w:bidi/>
        <w:spacing w:before="0" w:beforeAutospacing="0" w:after="0" w:afterAutospacing="0"/>
        <w:jc w:val="center"/>
        <w:rPr>
          <w:rFonts w:asciiTheme="minorBidi" w:hAnsiTheme="minorBidi" w:cstheme="minorBidi"/>
          <w:b/>
          <w:bCs/>
          <w:rtl/>
        </w:rPr>
      </w:pPr>
      <w:r w:rsidRPr="00D67EDA">
        <w:rPr>
          <w:rFonts w:asciiTheme="minorBidi" w:hAnsiTheme="minorBidi" w:cstheme="minorBidi"/>
          <w:b/>
          <w:bCs/>
          <w:rtl/>
        </w:rPr>
        <w:t>المبحث الرابع</w:t>
      </w:r>
    </w:p>
    <w:p w14:paraId="6548ABE7" w14:textId="5476706C" w:rsidR="00D67EDA" w:rsidRPr="00D67EDA" w:rsidRDefault="00D67EDA" w:rsidP="00D67EDA">
      <w:pPr>
        <w:pStyle w:val="NormalWeb"/>
        <w:bidi/>
        <w:spacing w:before="0" w:beforeAutospacing="0" w:after="0" w:afterAutospacing="0"/>
        <w:jc w:val="center"/>
        <w:rPr>
          <w:rFonts w:asciiTheme="minorBidi" w:hAnsiTheme="minorBidi" w:cstheme="minorBidi"/>
          <w:b/>
          <w:bCs/>
        </w:rPr>
      </w:pPr>
      <w:r w:rsidRPr="00D67EDA">
        <w:rPr>
          <w:rFonts w:asciiTheme="minorBidi" w:hAnsiTheme="minorBidi" w:cstheme="minorBidi"/>
          <w:b/>
          <w:bCs/>
          <w:rtl/>
        </w:rPr>
        <w:t>الرؤية التطويرية المقدرة لتحديث قانون البينات الأردني</w:t>
      </w:r>
    </w:p>
    <w:p w14:paraId="2FF7A67E"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tl/>
        </w:rPr>
      </w:pPr>
      <w:r w:rsidRPr="00D67EDA">
        <w:rPr>
          <w:rFonts w:asciiTheme="minorBidi" w:hAnsiTheme="minorBidi" w:cstheme="minorBidi"/>
          <w:rtl/>
        </w:rPr>
        <w:t>بناءً على ما تقدم من رصد للقصور التشريعي في المادتين (47) و(52) وما استخلصناه من التجربتين الفرنسية والإماراتية، يطرح هذا المبحث رؤية متكاملة تهدف إلى نقل قانون البينات الأردني من "التقليدية الورقية" إلى "المرونة الرقمية</w:t>
      </w:r>
      <w:r w:rsidRPr="00D67EDA">
        <w:rPr>
          <w:rFonts w:asciiTheme="minorBidi" w:hAnsiTheme="minorBidi" w:cstheme="minorBidi"/>
        </w:rPr>
        <w:t>".</w:t>
      </w:r>
    </w:p>
    <w:p w14:paraId="4ABB06FD"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المقترحات التشريعية لتعديل نصوص القانون</w:t>
      </w:r>
    </w:p>
    <w:p w14:paraId="0408023D"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tl/>
        </w:rPr>
      </w:pPr>
      <w:r w:rsidRPr="00D67EDA">
        <w:rPr>
          <w:rFonts w:asciiTheme="minorBidi" w:hAnsiTheme="minorBidi" w:cstheme="minorBidi"/>
          <w:rtl/>
        </w:rPr>
        <w:t>تتمثل الرؤية التطويرية في ضرورة إعادة صياغة المواد التي تشكل عائقاً أمام تدفق الأدلة الرقمية، وذلك على النحو الآتي</w:t>
      </w:r>
      <w:r w:rsidRPr="00D67EDA">
        <w:rPr>
          <w:rFonts w:asciiTheme="minorBidi" w:hAnsiTheme="minorBidi" w:cstheme="minorBidi"/>
        </w:rPr>
        <w:t>:</w:t>
      </w:r>
    </w:p>
    <w:p w14:paraId="424A87F8"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أولاً: تعديل المادة (47) - نحو استقلالية الدليل الرقمي</w:t>
      </w:r>
    </w:p>
    <w:p w14:paraId="404F1C92"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النص المقترح</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تعتبر الأدلة الرقمية، بما في ذلك السجلات الإلكترونية، والرسائل، والتوقيعات، والوسائط الاجتماعية، والبيانات المخزنة أو المرسلة عبر أي وسيط تقني، أدلة إثبات قائمة بذاتها، وتتمتع بالحجية ذاتها المقررة للمحررات الرسمية أو العرفية متى أمكن التحقق من صحة صدورها وسلامة محتواها</w:t>
      </w:r>
      <w:r w:rsidRPr="00D67EDA">
        <w:rPr>
          <w:rFonts w:asciiTheme="minorBidi" w:hAnsiTheme="minorBidi" w:cstheme="minorBidi"/>
        </w:rPr>
        <w:t>".</w:t>
      </w:r>
    </w:p>
    <w:p w14:paraId="3607E0F6" w14:textId="72DCF009" w:rsidR="00D67EDA" w:rsidRPr="00D67EDA" w:rsidRDefault="00D67EDA" w:rsidP="00D67EDA">
      <w:pPr>
        <w:pStyle w:val="NormalWeb"/>
        <w:numPr>
          <w:ilvl w:val="0"/>
          <w:numId w:val="240"/>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الهدف</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إلغاء تبعية الدليل الرقمي للورق (المستخرجات) والاعتراف بكيانه الافتراضي</w:t>
      </w:r>
      <w:r w:rsidR="004D64B0">
        <w:rPr>
          <w:rStyle w:val="FootnoteReference"/>
          <w:rFonts w:asciiTheme="minorBidi" w:hAnsiTheme="minorBidi" w:cstheme="minorBidi"/>
          <w:rtl/>
        </w:rPr>
        <w:t>(</w:t>
      </w:r>
      <w:r w:rsidR="004D64B0">
        <w:rPr>
          <w:rStyle w:val="FootnoteReference"/>
          <w:rFonts w:asciiTheme="minorBidi" w:hAnsiTheme="minorBidi" w:cstheme="minorBidi"/>
          <w:rtl/>
        </w:rPr>
        <w:footnoteReference w:id="21"/>
      </w:r>
      <w:r w:rsidR="004D64B0">
        <w:rPr>
          <w:rStyle w:val="FootnoteReference"/>
          <w:rFonts w:asciiTheme="minorBidi" w:hAnsiTheme="minorBidi" w:cstheme="minorBidi"/>
          <w:rtl/>
        </w:rPr>
        <w:t>)</w:t>
      </w:r>
      <w:r>
        <w:rPr>
          <w:rFonts w:asciiTheme="minorBidi" w:hAnsiTheme="minorBidi" w:cstheme="minorBidi" w:hint="cs"/>
          <w:rtl/>
        </w:rPr>
        <w:t>.</w:t>
      </w:r>
    </w:p>
    <w:p w14:paraId="674E01A0"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Pr>
      </w:pPr>
      <w:r w:rsidRPr="00D67EDA">
        <w:rPr>
          <w:rFonts w:asciiTheme="minorBidi" w:hAnsiTheme="minorBidi" w:cstheme="minorBidi"/>
          <w:b/>
          <w:bCs/>
          <w:rtl/>
        </w:rPr>
        <w:t>ثانياً: تعديل المادة (52) - توسيع سلطة القاضي التقديرية</w:t>
      </w:r>
    </w:p>
    <w:p w14:paraId="36A1432C"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النص المقترح</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للقاضي سلطة تقدير حجية الأدلة الرقمية في ضوء الظروف المحيطة، وله في سبيل ذلك الاستعانة بالخبرة الفنية المتخصصة أو الوسائل التقنية المتاحة للتحقق من سلامة الدليل، ولا يحول عدم وجود توقيع إلكتروني مصدق دون اعتبار الدليل مبدأ ثبوت بالكتابة أو بينة كاملة إذا اقتنع القاضي بصحته</w:t>
      </w:r>
      <w:r w:rsidRPr="00D67EDA">
        <w:rPr>
          <w:rFonts w:asciiTheme="minorBidi" w:hAnsiTheme="minorBidi" w:cstheme="minorBidi"/>
        </w:rPr>
        <w:t>".</w:t>
      </w:r>
    </w:p>
    <w:p w14:paraId="639AC5F9" w14:textId="6233B817" w:rsidR="00D67EDA" w:rsidRPr="00D67EDA" w:rsidRDefault="00D67EDA" w:rsidP="00D67EDA">
      <w:pPr>
        <w:pStyle w:val="NormalWeb"/>
        <w:numPr>
          <w:ilvl w:val="0"/>
          <w:numId w:val="241"/>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الهدف</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منح القاضي مرونة في قبول الأدلة المستمدة من تطبيقات المراسلة الحديثة</w:t>
      </w:r>
      <w:r w:rsidRPr="00D67EDA">
        <w:rPr>
          <w:rFonts w:asciiTheme="minorBidi" w:hAnsiTheme="minorBidi" w:cstheme="minorBidi"/>
        </w:rPr>
        <w:t xml:space="preserve"> (WhatsApp) </w:t>
      </w:r>
      <w:r w:rsidRPr="00D67EDA">
        <w:rPr>
          <w:rFonts w:asciiTheme="minorBidi" w:hAnsiTheme="minorBidi" w:cstheme="minorBidi"/>
          <w:rtl/>
        </w:rPr>
        <w:t>حتى لو لم تكن رسمية</w:t>
      </w:r>
      <w:r w:rsidR="004D64B0">
        <w:rPr>
          <w:rStyle w:val="FootnoteReference"/>
          <w:rFonts w:asciiTheme="minorBidi" w:hAnsiTheme="minorBidi" w:cstheme="minorBidi"/>
          <w:rtl/>
        </w:rPr>
        <w:t>(</w:t>
      </w:r>
      <w:r w:rsidR="004D64B0">
        <w:rPr>
          <w:rStyle w:val="FootnoteReference"/>
          <w:rFonts w:asciiTheme="minorBidi" w:hAnsiTheme="minorBidi" w:cstheme="minorBidi"/>
          <w:rtl/>
        </w:rPr>
        <w:footnoteReference w:id="22"/>
      </w:r>
      <w:r w:rsidR="004D64B0">
        <w:rPr>
          <w:rStyle w:val="FootnoteReference"/>
          <w:rFonts w:asciiTheme="minorBidi" w:hAnsiTheme="minorBidi" w:cstheme="minorBidi"/>
          <w:rtl/>
        </w:rPr>
        <w:t>)</w:t>
      </w:r>
      <w:r>
        <w:rPr>
          <w:rFonts w:asciiTheme="minorBidi" w:hAnsiTheme="minorBidi" w:cstheme="minorBidi" w:hint="cs"/>
          <w:rtl/>
        </w:rPr>
        <w:t>.</w:t>
      </w:r>
    </w:p>
    <w:p w14:paraId="43A9DD3D" w14:textId="77777777" w:rsidR="00D67EDA" w:rsidRPr="00D67EDA" w:rsidRDefault="00D67EDA" w:rsidP="00D67EDA">
      <w:pPr>
        <w:spacing w:after="0" w:line="240" w:lineRule="auto"/>
        <w:jc w:val="lowKashida"/>
        <w:rPr>
          <w:rFonts w:asciiTheme="minorBidi" w:hAnsiTheme="minorBidi" w:cstheme="minorBidi"/>
          <w:b/>
          <w:bCs/>
          <w:sz w:val="24"/>
          <w:szCs w:val="24"/>
        </w:rPr>
      </w:pPr>
      <w:r w:rsidRPr="00D67EDA">
        <w:rPr>
          <w:rFonts w:asciiTheme="minorBidi" w:hAnsiTheme="minorBidi" w:cstheme="minorBidi"/>
          <w:b/>
          <w:bCs/>
          <w:sz w:val="24"/>
          <w:szCs w:val="24"/>
          <w:rtl/>
        </w:rPr>
        <w:t>التوصيات الإجرائية والمؤسسية (العدالة الرقمية الناجزة)</w:t>
      </w:r>
    </w:p>
    <w:p w14:paraId="669949B2"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إن تطوير القانون بنصوص جامدة لا يكفي ما لم يرافقه تطوير في البنية الإجرائية</w:t>
      </w:r>
      <w:r w:rsidRPr="00D67EDA">
        <w:rPr>
          <w:rFonts w:asciiTheme="minorBidi" w:hAnsiTheme="minorBidi" w:cstheme="minorBidi"/>
        </w:rPr>
        <w:t>:</w:t>
      </w:r>
    </w:p>
    <w:p w14:paraId="21AD1805" w14:textId="7D3430B0" w:rsidR="00D67EDA" w:rsidRPr="00D67EDA" w:rsidRDefault="00D67EDA" w:rsidP="00D67EDA">
      <w:pPr>
        <w:pStyle w:val="NormalWeb"/>
        <w:numPr>
          <w:ilvl w:val="0"/>
          <w:numId w:val="242"/>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بروتوكول "سلسلة الحيازة الرقمية</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إصدار تعليمات ملحقة بقانون البينات تنظم كيفية ضبط الأدلة الرقمية وتخزينها</w:t>
      </w:r>
      <w:r w:rsidRPr="00D67EDA">
        <w:rPr>
          <w:rFonts w:asciiTheme="minorBidi" w:hAnsiTheme="minorBidi" w:cstheme="minorBidi"/>
        </w:rPr>
        <w:t xml:space="preserve"> (Hash Value) </w:t>
      </w:r>
      <w:r w:rsidRPr="00D67EDA">
        <w:rPr>
          <w:rFonts w:asciiTheme="minorBidi" w:hAnsiTheme="minorBidi" w:cstheme="minorBidi"/>
          <w:rtl/>
        </w:rPr>
        <w:t>لضمان عدم تعرضها للتعديل أثناء المحاكمة</w:t>
      </w:r>
      <w:r w:rsidR="004D64B0">
        <w:rPr>
          <w:rStyle w:val="FootnoteReference"/>
          <w:rFonts w:asciiTheme="minorBidi" w:hAnsiTheme="minorBidi" w:cstheme="minorBidi"/>
          <w:rtl/>
        </w:rPr>
        <w:t>(</w:t>
      </w:r>
      <w:r w:rsidR="004D64B0">
        <w:rPr>
          <w:rStyle w:val="FootnoteReference"/>
          <w:rFonts w:asciiTheme="minorBidi" w:hAnsiTheme="minorBidi" w:cstheme="minorBidi"/>
          <w:rtl/>
        </w:rPr>
        <w:footnoteReference w:id="23"/>
      </w:r>
      <w:r w:rsidR="004D64B0">
        <w:rPr>
          <w:rStyle w:val="FootnoteReference"/>
          <w:rFonts w:asciiTheme="minorBidi" w:hAnsiTheme="minorBidi" w:cstheme="minorBidi"/>
          <w:rtl/>
        </w:rPr>
        <w:t>)</w:t>
      </w:r>
      <w:r w:rsidR="004D64B0">
        <w:rPr>
          <w:rFonts w:asciiTheme="minorBidi" w:hAnsiTheme="minorBidi" w:cstheme="minorBidi" w:hint="cs"/>
          <w:rtl/>
        </w:rPr>
        <w:t>.</w:t>
      </w:r>
    </w:p>
    <w:p w14:paraId="087F2FF1" w14:textId="77777777" w:rsidR="00D67EDA" w:rsidRPr="00D67EDA" w:rsidRDefault="00D67EDA" w:rsidP="00D67EDA">
      <w:pPr>
        <w:pStyle w:val="NormalWeb"/>
        <w:numPr>
          <w:ilvl w:val="0"/>
          <w:numId w:val="242"/>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إحداث تخصص "قاضي البينة الرقمية</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تكثيف الدورات التدريبية للقضاة في المعهد القضائي الأردني حول مفاهيم التشفير، والبيانات الوصفية</w:t>
      </w:r>
      <w:r w:rsidRPr="00D67EDA">
        <w:rPr>
          <w:rFonts w:asciiTheme="minorBidi" w:hAnsiTheme="minorBidi" w:cstheme="minorBidi"/>
        </w:rPr>
        <w:t xml:space="preserve"> (Metadata)</w:t>
      </w:r>
      <w:r w:rsidRPr="00D67EDA">
        <w:rPr>
          <w:rFonts w:asciiTheme="minorBidi" w:hAnsiTheme="minorBidi" w:cstheme="minorBidi"/>
          <w:rtl/>
        </w:rPr>
        <w:t>، وكيفية نقد تقارير الخبرة الفنية</w:t>
      </w:r>
      <w:r w:rsidRPr="00D67EDA">
        <w:rPr>
          <w:rFonts w:asciiTheme="minorBidi" w:hAnsiTheme="minorBidi" w:cstheme="minorBidi"/>
        </w:rPr>
        <w:t>.</w:t>
      </w:r>
    </w:p>
    <w:p w14:paraId="125EE5E7" w14:textId="77777777" w:rsidR="00D67EDA" w:rsidRPr="00D67EDA" w:rsidRDefault="00D67EDA" w:rsidP="00D67EDA">
      <w:pPr>
        <w:pStyle w:val="NormalWeb"/>
        <w:numPr>
          <w:ilvl w:val="0"/>
          <w:numId w:val="242"/>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تفعيل المحكمة الرقمية بالكامل</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ربط قانون البينات بمنظومة التبليغات الإلكترونية لضمان اعتبار الإشعارات المرسلة عبر تطبيق (سند) أو البريد الإلكتروني بينة قاطعة على التبليغ دون الحاجة لإثبات ورقي</w:t>
      </w:r>
      <w:r w:rsidRPr="00D67EDA">
        <w:rPr>
          <w:rFonts w:asciiTheme="minorBidi" w:hAnsiTheme="minorBidi" w:cstheme="minorBidi"/>
        </w:rPr>
        <w:t>.</w:t>
      </w:r>
    </w:p>
    <w:p w14:paraId="5DA68EFB" w14:textId="77777777" w:rsidR="00D67EDA" w:rsidRPr="00D67EDA" w:rsidRDefault="00D67EDA" w:rsidP="00D67EDA">
      <w:pPr>
        <w:spacing w:after="0" w:line="240" w:lineRule="auto"/>
        <w:jc w:val="center"/>
        <w:rPr>
          <w:rFonts w:asciiTheme="minorBidi" w:hAnsiTheme="minorBidi" w:cstheme="minorBidi"/>
          <w:b/>
          <w:bCs/>
          <w:sz w:val="24"/>
          <w:szCs w:val="24"/>
          <w:rtl/>
        </w:rPr>
      </w:pPr>
      <w:r w:rsidRPr="00D67EDA">
        <w:rPr>
          <w:rFonts w:asciiTheme="minorBidi" w:hAnsiTheme="minorBidi" w:cstheme="minorBidi"/>
          <w:b/>
          <w:bCs/>
          <w:sz w:val="24"/>
          <w:szCs w:val="24"/>
          <w:rtl/>
        </w:rPr>
        <w:t>النتائج</w:t>
      </w:r>
    </w:p>
    <w:p w14:paraId="59C818A3" w14:textId="77777777" w:rsidR="00D67EDA" w:rsidRPr="00D67EDA" w:rsidRDefault="00D67EDA" w:rsidP="00D67EDA">
      <w:pPr>
        <w:spacing w:after="0" w:line="240" w:lineRule="auto"/>
        <w:jc w:val="lowKashida"/>
        <w:rPr>
          <w:rFonts w:asciiTheme="minorBidi" w:hAnsiTheme="minorBidi" w:cstheme="minorBidi"/>
          <w:b/>
          <w:bCs/>
          <w:sz w:val="24"/>
          <w:szCs w:val="24"/>
        </w:rPr>
      </w:pPr>
      <w:r w:rsidRPr="00D67EDA">
        <w:rPr>
          <w:rFonts w:asciiTheme="minorBidi" w:hAnsiTheme="minorBidi" w:cstheme="minorBidi"/>
          <w:sz w:val="24"/>
          <w:szCs w:val="24"/>
          <w:rtl/>
          <w:lang w:val="en-GB" w:eastAsia="en-GB"/>
        </w:rPr>
        <w:t>بناءً على التحليل القانوني والتقني الذي أجرته الدراسة، توصلت الباحثة إلى النتائج الآتية</w:t>
      </w:r>
      <w:r w:rsidRPr="00D67EDA">
        <w:rPr>
          <w:rFonts w:asciiTheme="minorBidi" w:hAnsiTheme="minorBidi" w:cstheme="minorBidi"/>
          <w:sz w:val="24"/>
          <w:szCs w:val="24"/>
          <w:lang w:val="en-GB" w:eastAsia="en-GB"/>
        </w:rPr>
        <w:t>:</w:t>
      </w:r>
    </w:p>
    <w:p w14:paraId="6C65FCCE" w14:textId="77777777" w:rsidR="00D67EDA" w:rsidRPr="00D67EDA" w:rsidRDefault="00D67EDA" w:rsidP="00D67EDA">
      <w:pPr>
        <w:numPr>
          <w:ilvl w:val="0"/>
          <w:numId w:val="261"/>
        </w:numPr>
        <w:spacing w:after="0" w:line="240" w:lineRule="auto"/>
        <w:jc w:val="lowKashida"/>
        <w:rPr>
          <w:rFonts w:asciiTheme="minorBidi" w:hAnsiTheme="minorBidi" w:cstheme="minorBidi"/>
          <w:sz w:val="24"/>
          <w:szCs w:val="24"/>
          <w:lang w:val="en-GB" w:eastAsia="en-GB"/>
        </w:rPr>
      </w:pPr>
      <w:r w:rsidRPr="00D67EDA">
        <w:rPr>
          <w:rFonts w:asciiTheme="minorBidi" w:hAnsiTheme="minorBidi" w:cstheme="minorBidi"/>
          <w:b/>
          <w:bCs/>
          <w:sz w:val="24"/>
          <w:szCs w:val="24"/>
          <w:rtl/>
          <w:lang w:val="en-GB" w:eastAsia="en-GB"/>
        </w:rPr>
        <w:t>قصور معيار "سلامة النظام" أمام تقنيات التزييف العميق</w:t>
      </w:r>
      <w:r w:rsidRPr="00D67EDA">
        <w:rPr>
          <w:rFonts w:asciiTheme="minorBidi" w:hAnsiTheme="minorBidi" w:cstheme="minorBidi"/>
          <w:b/>
          <w:bCs/>
          <w:sz w:val="24"/>
          <w:szCs w:val="24"/>
          <w:lang w:val="en-GB" w:eastAsia="en-GB"/>
        </w:rPr>
        <w:t xml:space="preserve"> (Deepfake):</w:t>
      </w:r>
      <w:r w:rsidRPr="00D67EDA">
        <w:rPr>
          <w:rFonts w:asciiTheme="minorBidi" w:hAnsiTheme="minorBidi" w:cstheme="minorBidi"/>
          <w:sz w:val="24"/>
          <w:szCs w:val="24"/>
          <w:lang w:val="en-GB" w:eastAsia="en-GB"/>
        </w:rPr>
        <w:t xml:space="preserve"> </w:t>
      </w:r>
      <w:r w:rsidRPr="00D67EDA">
        <w:rPr>
          <w:rFonts w:asciiTheme="minorBidi" w:hAnsiTheme="minorBidi" w:cstheme="minorBidi"/>
          <w:sz w:val="24"/>
          <w:szCs w:val="24"/>
          <w:rtl/>
          <w:lang w:val="en-GB" w:eastAsia="en-GB"/>
        </w:rPr>
        <w:t>كشفت الدراسة أن معيار "سلامة النظام" الذي يعتمد عليه القضاء الأردني (بموجب المادة 47 من قانون البينات) أصبح معياراً عاجزاً تقنياً. فلم يعد كافياً إثبات أن النظام لم يتعرض لاختراق؛ لأن تقنيات الذكاء الاصطناعي</w:t>
      </w:r>
      <w:r w:rsidRPr="00D67EDA">
        <w:rPr>
          <w:rFonts w:asciiTheme="minorBidi" w:hAnsiTheme="minorBidi" w:cstheme="minorBidi"/>
          <w:sz w:val="24"/>
          <w:szCs w:val="24"/>
          <w:lang w:val="en-GB" w:eastAsia="en-GB"/>
        </w:rPr>
        <w:t xml:space="preserve"> (</w:t>
      </w:r>
      <w:r w:rsidRPr="00D67EDA">
        <w:rPr>
          <w:rFonts w:asciiTheme="minorBidi" w:hAnsiTheme="minorBidi" w:cstheme="minorBidi"/>
          <w:sz w:val="24"/>
          <w:szCs w:val="24"/>
          <w:rtl/>
          <w:lang w:val="en-GB" w:eastAsia="en-GB"/>
        </w:rPr>
        <w:t>مثل</w:t>
      </w:r>
      <w:r w:rsidRPr="00D67EDA">
        <w:rPr>
          <w:rFonts w:asciiTheme="minorBidi" w:hAnsiTheme="minorBidi" w:cstheme="minorBidi"/>
          <w:sz w:val="24"/>
          <w:szCs w:val="24"/>
          <w:lang w:val="en-GB" w:eastAsia="en-GB"/>
        </w:rPr>
        <w:t xml:space="preserve"> Deepfake) </w:t>
      </w:r>
      <w:r w:rsidRPr="00D67EDA">
        <w:rPr>
          <w:rFonts w:asciiTheme="minorBidi" w:hAnsiTheme="minorBidi" w:cstheme="minorBidi"/>
          <w:sz w:val="24"/>
          <w:szCs w:val="24"/>
          <w:rtl/>
          <w:lang w:val="en-GB" w:eastAsia="en-GB"/>
        </w:rPr>
        <w:t>)تتيح صناعة أدلة رقمية "أصلية" من حيث البنية التقنية ولكنها "مزيفة" من حيث المحتوى، مما يتطلب الانتقال من معيار "سلامة النظام" إلى معيار "التحقق من سلامة المحتوى" عبر أدوات الذكاء الاصطناعي الدفاعي</w:t>
      </w:r>
      <w:r w:rsidRPr="00D67EDA">
        <w:rPr>
          <w:rFonts w:asciiTheme="minorBidi" w:hAnsiTheme="minorBidi" w:cstheme="minorBidi"/>
          <w:sz w:val="24"/>
          <w:szCs w:val="24"/>
          <w:lang w:val="en-GB" w:eastAsia="en-GB"/>
        </w:rPr>
        <w:t>.</w:t>
      </w:r>
    </w:p>
    <w:p w14:paraId="1FA051A4" w14:textId="77777777" w:rsidR="00D67EDA" w:rsidRPr="00D67EDA" w:rsidRDefault="00D67EDA" w:rsidP="00D67EDA">
      <w:pPr>
        <w:numPr>
          <w:ilvl w:val="0"/>
          <w:numId w:val="261"/>
        </w:numPr>
        <w:spacing w:after="0" w:line="240" w:lineRule="auto"/>
        <w:jc w:val="lowKashida"/>
        <w:rPr>
          <w:rFonts w:asciiTheme="minorBidi" w:hAnsiTheme="minorBidi" w:cstheme="minorBidi"/>
          <w:sz w:val="24"/>
          <w:szCs w:val="24"/>
          <w:lang w:val="en-GB" w:eastAsia="en-GB"/>
        </w:rPr>
      </w:pPr>
      <w:r w:rsidRPr="00D67EDA">
        <w:rPr>
          <w:rFonts w:asciiTheme="minorBidi" w:hAnsiTheme="minorBidi" w:cstheme="minorBidi"/>
          <w:b/>
          <w:bCs/>
          <w:sz w:val="24"/>
          <w:szCs w:val="24"/>
          <w:rtl/>
          <w:lang w:val="en-GB" w:eastAsia="en-GB"/>
        </w:rPr>
        <w:lastRenderedPageBreak/>
        <w:t>هشاشة مفهوم "المستخرج الورقي" كضمانة ثبوتية</w:t>
      </w:r>
      <w:r w:rsidRPr="00D67EDA">
        <w:rPr>
          <w:rFonts w:asciiTheme="minorBidi" w:hAnsiTheme="minorBidi" w:cstheme="minorBidi"/>
          <w:b/>
          <w:bCs/>
          <w:sz w:val="24"/>
          <w:szCs w:val="24"/>
          <w:lang w:val="en-GB" w:eastAsia="en-GB"/>
        </w:rPr>
        <w:t>:</w:t>
      </w:r>
      <w:r w:rsidRPr="00D67EDA">
        <w:rPr>
          <w:rFonts w:asciiTheme="minorBidi" w:hAnsiTheme="minorBidi" w:cstheme="minorBidi"/>
          <w:sz w:val="24"/>
          <w:szCs w:val="24"/>
          <w:lang w:val="en-GB" w:eastAsia="en-GB"/>
        </w:rPr>
        <w:t xml:space="preserve"> </w:t>
      </w:r>
      <w:r w:rsidRPr="00D67EDA">
        <w:rPr>
          <w:rFonts w:asciiTheme="minorBidi" w:hAnsiTheme="minorBidi" w:cstheme="minorBidi"/>
          <w:sz w:val="24"/>
          <w:szCs w:val="24"/>
          <w:rtl/>
          <w:lang w:val="en-GB" w:eastAsia="en-GB"/>
        </w:rPr>
        <w:t xml:space="preserve">أثبتت الدراسة أن التمسك بـ "المستخرج الورقي" لا يمنح الأمان القانوني المطلوب عند حدوث الإنكار؛ بل على العكس، فهو يؤدي إلى </w:t>
      </w:r>
      <w:r w:rsidRPr="00D67EDA">
        <w:rPr>
          <w:rFonts w:asciiTheme="minorBidi" w:hAnsiTheme="minorBidi" w:cstheme="minorBidi"/>
          <w:b/>
          <w:bCs/>
          <w:sz w:val="24"/>
          <w:szCs w:val="24"/>
          <w:lang w:val="en-GB" w:eastAsia="en-GB"/>
        </w:rPr>
        <w:t>"</w:t>
      </w:r>
      <w:r w:rsidRPr="00D67EDA">
        <w:rPr>
          <w:rFonts w:asciiTheme="minorBidi" w:hAnsiTheme="minorBidi" w:cstheme="minorBidi"/>
          <w:b/>
          <w:bCs/>
          <w:sz w:val="24"/>
          <w:szCs w:val="24"/>
          <w:rtl/>
          <w:lang w:val="en-GB" w:eastAsia="en-GB"/>
        </w:rPr>
        <w:t>إتلاف البيانات الوصفية</w:t>
      </w:r>
      <w:r w:rsidRPr="00D67EDA">
        <w:rPr>
          <w:rFonts w:asciiTheme="minorBidi" w:hAnsiTheme="minorBidi" w:cstheme="minorBidi"/>
          <w:b/>
          <w:bCs/>
          <w:sz w:val="24"/>
          <w:szCs w:val="24"/>
          <w:lang w:val="en-GB" w:eastAsia="en-GB"/>
        </w:rPr>
        <w:t>" (Metadata)</w:t>
      </w:r>
      <w:r w:rsidRPr="00D67EDA">
        <w:rPr>
          <w:rFonts w:asciiTheme="minorBidi" w:hAnsiTheme="minorBidi" w:cstheme="minorBidi"/>
          <w:sz w:val="24"/>
          <w:szCs w:val="24"/>
          <w:lang w:val="en-GB" w:eastAsia="en-GB"/>
        </w:rPr>
        <w:t xml:space="preserve"> </w:t>
      </w:r>
      <w:r w:rsidRPr="00D67EDA">
        <w:rPr>
          <w:rFonts w:asciiTheme="minorBidi" w:hAnsiTheme="minorBidi" w:cstheme="minorBidi"/>
          <w:sz w:val="24"/>
          <w:szCs w:val="24"/>
          <w:rtl/>
          <w:lang w:val="en-GB" w:eastAsia="en-GB"/>
        </w:rPr>
        <w:t>التي تُعد الجزء الأكثر مصداقية في الدليل الرقمي. وبالتالي، فإن الإصرار على الورق في قانون البينات لا يحمي الدليل، بل يجرده من خصائصه الفنية التي تسمح للقاضي بالتأكد من صحته</w:t>
      </w:r>
      <w:r w:rsidRPr="00D67EDA">
        <w:rPr>
          <w:rFonts w:asciiTheme="minorBidi" w:hAnsiTheme="minorBidi" w:cstheme="minorBidi"/>
          <w:sz w:val="24"/>
          <w:szCs w:val="24"/>
          <w:lang w:val="en-GB" w:eastAsia="en-GB"/>
        </w:rPr>
        <w:t>.</w:t>
      </w:r>
    </w:p>
    <w:p w14:paraId="6468BC25" w14:textId="77777777" w:rsidR="00D67EDA" w:rsidRPr="00D67EDA" w:rsidRDefault="00D67EDA" w:rsidP="00D67EDA">
      <w:pPr>
        <w:numPr>
          <w:ilvl w:val="0"/>
          <w:numId w:val="261"/>
        </w:numPr>
        <w:spacing w:after="0" w:line="240" w:lineRule="auto"/>
        <w:jc w:val="lowKashida"/>
        <w:rPr>
          <w:rFonts w:asciiTheme="minorBidi" w:hAnsiTheme="minorBidi" w:cstheme="minorBidi"/>
          <w:sz w:val="24"/>
          <w:szCs w:val="24"/>
          <w:lang w:val="en-GB" w:eastAsia="en-GB"/>
        </w:rPr>
      </w:pPr>
      <w:r w:rsidRPr="00D67EDA">
        <w:rPr>
          <w:rFonts w:asciiTheme="minorBidi" w:hAnsiTheme="minorBidi" w:cstheme="minorBidi"/>
          <w:b/>
          <w:bCs/>
          <w:sz w:val="24"/>
          <w:szCs w:val="24"/>
          <w:rtl/>
          <w:lang w:val="en-GB" w:eastAsia="en-GB"/>
        </w:rPr>
        <w:t>حتمية تبني مفهوم "سلسلة الحيازة الرقمية</w:t>
      </w:r>
      <w:r w:rsidRPr="00D67EDA">
        <w:rPr>
          <w:rFonts w:asciiTheme="minorBidi" w:hAnsiTheme="minorBidi" w:cstheme="minorBidi"/>
          <w:b/>
          <w:bCs/>
          <w:sz w:val="24"/>
          <w:szCs w:val="24"/>
          <w:lang w:val="en-GB" w:eastAsia="en-GB"/>
        </w:rPr>
        <w:t>" (Digital Chain of Custody):</w:t>
      </w:r>
      <w:r w:rsidRPr="00D67EDA">
        <w:rPr>
          <w:rFonts w:asciiTheme="minorBidi" w:hAnsiTheme="minorBidi" w:cstheme="minorBidi"/>
          <w:sz w:val="24"/>
          <w:szCs w:val="24"/>
          <w:lang w:val="en-GB" w:eastAsia="en-GB"/>
        </w:rPr>
        <w:t xml:space="preserve"> </w:t>
      </w:r>
      <w:r w:rsidRPr="00D67EDA">
        <w:rPr>
          <w:rFonts w:asciiTheme="minorBidi" w:hAnsiTheme="minorBidi" w:cstheme="minorBidi"/>
          <w:sz w:val="24"/>
          <w:szCs w:val="24"/>
          <w:rtl/>
          <w:lang w:val="en-GB" w:eastAsia="en-GB"/>
        </w:rPr>
        <w:t>خلصت الدراسة إلى أن غياب بروتوكول قانوني يلزم بضبط "سلسلة الحيازة الرقمية" هو الثغرة الأساسية التي يستغلها الخصوم للطعن في الأدلة. فبدون آلية قانونية تضمن تسجيل مسار الدليل الرقمي من لحظة إنشائه وحتى وصوله للمحكمة</w:t>
      </w:r>
      <w:r w:rsidRPr="00D67EDA">
        <w:rPr>
          <w:rFonts w:asciiTheme="minorBidi" w:hAnsiTheme="minorBidi" w:cstheme="minorBidi"/>
          <w:sz w:val="24"/>
          <w:szCs w:val="24"/>
          <w:lang w:val="en-GB" w:eastAsia="en-GB"/>
        </w:rPr>
        <w:t xml:space="preserve"> (</w:t>
      </w:r>
      <w:r w:rsidRPr="00D67EDA">
        <w:rPr>
          <w:rFonts w:asciiTheme="minorBidi" w:hAnsiTheme="minorBidi" w:cstheme="minorBidi"/>
          <w:sz w:val="24"/>
          <w:szCs w:val="24"/>
          <w:rtl/>
          <w:lang w:val="en-GB" w:eastAsia="en-GB"/>
        </w:rPr>
        <w:t>عبر البصمة الرقمية</w:t>
      </w:r>
      <w:r w:rsidRPr="00D67EDA">
        <w:rPr>
          <w:rFonts w:asciiTheme="minorBidi" w:hAnsiTheme="minorBidi" w:cstheme="minorBidi"/>
          <w:sz w:val="24"/>
          <w:szCs w:val="24"/>
          <w:lang w:val="en-GB" w:eastAsia="en-GB"/>
        </w:rPr>
        <w:t xml:space="preserve"> Hash Value)</w:t>
      </w:r>
      <w:r w:rsidRPr="00D67EDA">
        <w:rPr>
          <w:rFonts w:asciiTheme="minorBidi" w:hAnsiTheme="minorBidi" w:cstheme="minorBidi"/>
          <w:sz w:val="24"/>
          <w:szCs w:val="24"/>
          <w:rtl/>
          <w:lang w:val="en-GB" w:eastAsia="en-GB"/>
        </w:rPr>
        <w:t>، يظل الدليل عرضة للشك، وتظل قناعة القاضي الوجدانية معلقة بتقرير الخبير وحده</w:t>
      </w:r>
      <w:r w:rsidRPr="00D67EDA">
        <w:rPr>
          <w:rFonts w:asciiTheme="minorBidi" w:hAnsiTheme="minorBidi" w:cstheme="minorBidi"/>
          <w:sz w:val="24"/>
          <w:szCs w:val="24"/>
          <w:lang w:val="en-GB" w:eastAsia="en-GB"/>
        </w:rPr>
        <w:t>.</w:t>
      </w:r>
    </w:p>
    <w:p w14:paraId="2106C0CB" w14:textId="77777777" w:rsidR="00D67EDA" w:rsidRPr="00D67EDA" w:rsidRDefault="00D67EDA" w:rsidP="00D67EDA">
      <w:pPr>
        <w:numPr>
          <w:ilvl w:val="0"/>
          <w:numId w:val="261"/>
        </w:numPr>
        <w:spacing w:after="0" w:line="240" w:lineRule="auto"/>
        <w:jc w:val="lowKashida"/>
        <w:rPr>
          <w:rFonts w:asciiTheme="minorBidi" w:hAnsiTheme="minorBidi" w:cstheme="minorBidi"/>
          <w:sz w:val="24"/>
          <w:szCs w:val="24"/>
          <w:lang w:val="en-GB" w:eastAsia="en-GB"/>
        </w:rPr>
      </w:pPr>
      <w:r w:rsidRPr="00D67EDA">
        <w:rPr>
          <w:rFonts w:asciiTheme="minorBidi" w:hAnsiTheme="minorBidi" w:cstheme="minorBidi"/>
          <w:b/>
          <w:bCs/>
          <w:sz w:val="24"/>
          <w:szCs w:val="24"/>
          <w:rtl/>
          <w:lang w:val="en-GB" w:eastAsia="en-GB"/>
        </w:rPr>
        <w:t>التناقض التشريعي بين "حجية السجل" و"إجراءات الإثبات</w:t>
      </w:r>
      <w:r w:rsidRPr="00D67EDA">
        <w:rPr>
          <w:rFonts w:asciiTheme="minorBidi" w:hAnsiTheme="minorBidi" w:cstheme="minorBidi"/>
          <w:b/>
          <w:bCs/>
          <w:sz w:val="24"/>
          <w:szCs w:val="24"/>
          <w:lang w:val="en-GB" w:eastAsia="en-GB"/>
        </w:rPr>
        <w:t>":</w:t>
      </w:r>
      <w:r w:rsidRPr="00D67EDA">
        <w:rPr>
          <w:rFonts w:asciiTheme="minorBidi" w:hAnsiTheme="minorBidi" w:cstheme="minorBidi"/>
          <w:sz w:val="24"/>
          <w:szCs w:val="24"/>
          <w:lang w:val="en-GB" w:eastAsia="en-GB"/>
        </w:rPr>
        <w:t xml:space="preserve"> </w:t>
      </w:r>
      <w:r w:rsidRPr="00D67EDA">
        <w:rPr>
          <w:rFonts w:asciiTheme="minorBidi" w:hAnsiTheme="minorBidi" w:cstheme="minorBidi"/>
          <w:sz w:val="24"/>
          <w:szCs w:val="24"/>
          <w:rtl/>
          <w:lang w:val="en-GB" w:eastAsia="en-GB"/>
        </w:rPr>
        <w:t>أظهرت الدراسة وجود تناقض بنيوي؛ حيث يمنح قانون المعاملات الإلكترونية "حجية موضوعية" للسجل الرقمي، بينما يفرض قانون البينات "إجراءات شكلية" لتقديمه. هذا التناقض يحول الدليل الرقمي إلى أداة إثبات "معلقة"، حيث يقرر المشرع حجيتها في قانون، ويفرغها من إمكانية تنفيذها الإجرائي في قانون آخر، مما يؤدي إلى تفاوت في الاجتهادات القضائية</w:t>
      </w:r>
      <w:r w:rsidRPr="00D67EDA">
        <w:rPr>
          <w:rFonts w:asciiTheme="minorBidi" w:hAnsiTheme="minorBidi" w:cstheme="minorBidi"/>
          <w:sz w:val="24"/>
          <w:szCs w:val="24"/>
          <w:lang w:val="en-GB" w:eastAsia="en-GB"/>
        </w:rPr>
        <w:t>.</w:t>
      </w:r>
    </w:p>
    <w:p w14:paraId="0C9F85C7" w14:textId="77777777" w:rsidR="00D67EDA" w:rsidRPr="00D67EDA" w:rsidRDefault="00D67EDA" w:rsidP="00D67EDA">
      <w:pPr>
        <w:pStyle w:val="NormalWeb"/>
        <w:bidi/>
        <w:spacing w:before="0" w:beforeAutospacing="0" w:after="0" w:afterAutospacing="0"/>
        <w:jc w:val="lowKashida"/>
        <w:rPr>
          <w:rFonts w:asciiTheme="minorBidi" w:hAnsiTheme="minorBidi" w:cstheme="minorBidi"/>
          <w:b/>
          <w:bCs/>
          <w:rtl/>
        </w:rPr>
      </w:pPr>
      <w:r w:rsidRPr="00D67EDA">
        <w:rPr>
          <w:rFonts w:asciiTheme="minorBidi" w:hAnsiTheme="minorBidi" w:cstheme="minorBidi"/>
          <w:b/>
          <w:bCs/>
          <w:rtl/>
        </w:rPr>
        <w:t>التوصيات</w:t>
      </w:r>
    </w:p>
    <w:p w14:paraId="5EDBCBFA" w14:textId="77777777" w:rsidR="00D67EDA" w:rsidRPr="00D67EDA" w:rsidRDefault="00D67EDA" w:rsidP="00D67EDA">
      <w:pPr>
        <w:pStyle w:val="NormalWeb"/>
        <w:numPr>
          <w:ilvl w:val="0"/>
          <w:numId w:val="262"/>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استحداث نص إجرائي</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إضافة مادة في قانون البينات تنص على قبول "البصمة الرقمية</w:t>
      </w:r>
      <w:r w:rsidRPr="00D67EDA">
        <w:rPr>
          <w:rFonts w:asciiTheme="minorBidi" w:hAnsiTheme="minorBidi" w:cstheme="minorBidi"/>
        </w:rPr>
        <w:t xml:space="preserve">" (Hash Value) </w:t>
      </w:r>
      <w:r w:rsidRPr="00D67EDA">
        <w:rPr>
          <w:rFonts w:asciiTheme="minorBidi" w:hAnsiTheme="minorBidi" w:cstheme="minorBidi"/>
          <w:rtl/>
        </w:rPr>
        <w:t>كدليل قاطع على عدم التلاعب بالمحتوى الرقمي، واعتبارها بديلة عن التوقيع أو المستخرج الورقي</w:t>
      </w:r>
      <w:r w:rsidRPr="00D67EDA">
        <w:rPr>
          <w:rFonts w:asciiTheme="minorBidi" w:hAnsiTheme="minorBidi" w:cstheme="minorBidi"/>
        </w:rPr>
        <w:t>.</w:t>
      </w:r>
    </w:p>
    <w:p w14:paraId="312D27DD" w14:textId="77777777" w:rsidR="00D67EDA" w:rsidRPr="00D67EDA" w:rsidRDefault="00D67EDA" w:rsidP="00D67EDA">
      <w:pPr>
        <w:pStyle w:val="NormalWeb"/>
        <w:numPr>
          <w:ilvl w:val="0"/>
          <w:numId w:val="262"/>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اعتماد بروتوكول فني</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إلزام المحاكم بتبني "بروتوكول سلسلة الحيازة الرقمية" عند التعامل مع الأدلة المستمدة من وسائل التواصل الاجتماعي، لضمان عدم الطعن في سلامة المحتوى</w:t>
      </w:r>
      <w:r w:rsidRPr="00D67EDA">
        <w:rPr>
          <w:rFonts w:asciiTheme="minorBidi" w:hAnsiTheme="minorBidi" w:cstheme="minorBidi"/>
        </w:rPr>
        <w:t>.</w:t>
      </w:r>
    </w:p>
    <w:p w14:paraId="2C5F0E4C" w14:textId="77777777" w:rsidR="00D67EDA" w:rsidRPr="00D67EDA" w:rsidRDefault="00D67EDA" w:rsidP="00D67EDA">
      <w:pPr>
        <w:pStyle w:val="NormalWeb"/>
        <w:numPr>
          <w:ilvl w:val="0"/>
          <w:numId w:val="262"/>
        </w:numPr>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الخبرة المتخصصة</w:t>
      </w:r>
      <w:r w:rsidRPr="00D67EDA">
        <w:rPr>
          <w:rFonts w:asciiTheme="minorBidi" w:hAnsiTheme="minorBidi" w:cstheme="minorBidi"/>
          <w:b/>
          <w:bCs/>
        </w:rPr>
        <w:t>:</w:t>
      </w:r>
      <w:r w:rsidRPr="00D67EDA">
        <w:rPr>
          <w:rFonts w:asciiTheme="minorBidi" w:hAnsiTheme="minorBidi" w:cstheme="minorBidi"/>
        </w:rPr>
        <w:t xml:space="preserve"> </w:t>
      </w:r>
      <w:r w:rsidRPr="00D67EDA">
        <w:rPr>
          <w:rFonts w:asciiTheme="minorBidi" w:hAnsiTheme="minorBidi" w:cstheme="minorBidi"/>
          <w:rtl/>
        </w:rPr>
        <w:t>تحويل دور الخبير من مجرد "مُقيم للصورة" إلى "مدقق للسلامة الرقمية</w:t>
      </w:r>
      <w:r w:rsidRPr="00D67EDA">
        <w:rPr>
          <w:rFonts w:asciiTheme="minorBidi" w:hAnsiTheme="minorBidi" w:cstheme="minorBidi"/>
        </w:rPr>
        <w:t xml:space="preserve">" (Digital Forensic Auditor) </w:t>
      </w:r>
      <w:r w:rsidRPr="00D67EDA">
        <w:rPr>
          <w:rFonts w:asciiTheme="minorBidi" w:hAnsiTheme="minorBidi" w:cstheme="minorBidi"/>
          <w:rtl/>
        </w:rPr>
        <w:t>يرفع تقارير حول التتبع الرقمي وليس فقط فحص المحتوى الظاهري</w:t>
      </w:r>
      <w:r w:rsidRPr="00D67EDA">
        <w:rPr>
          <w:rFonts w:asciiTheme="minorBidi" w:hAnsiTheme="minorBidi" w:cstheme="minorBidi"/>
        </w:rPr>
        <w:t>.</w:t>
      </w:r>
    </w:p>
    <w:p w14:paraId="7DDEC364" w14:textId="7FDCB079" w:rsidR="00D67EDA" w:rsidRPr="00D67EDA" w:rsidRDefault="00D67EDA" w:rsidP="00D67EDA">
      <w:pPr>
        <w:spacing w:after="0" w:line="240" w:lineRule="auto"/>
        <w:jc w:val="center"/>
        <w:rPr>
          <w:rStyle w:val="citation-147"/>
          <w:rFonts w:asciiTheme="minorBidi" w:hAnsiTheme="minorBidi" w:cstheme="minorBidi"/>
          <w:sz w:val="24"/>
          <w:szCs w:val="24"/>
          <w:rtl/>
        </w:rPr>
      </w:pPr>
      <w:r w:rsidRPr="00D67EDA">
        <w:rPr>
          <w:rFonts w:asciiTheme="minorBidi" w:hAnsiTheme="minorBidi" w:cstheme="minorBidi"/>
          <w:b/>
          <w:bCs/>
          <w:sz w:val="24"/>
          <w:szCs w:val="24"/>
          <w:rtl/>
        </w:rPr>
        <w:t>الخاتمة</w:t>
      </w:r>
    </w:p>
    <w:p w14:paraId="65FAD2DB" w14:textId="77777777" w:rsidR="00D67EDA" w:rsidRPr="00D67EDA" w:rsidRDefault="00D67EDA" w:rsidP="00D67EDA">
      <w:pPr>
        <w:spacing w:after="0" w:line="240" w:lineRule="auto"/>
        <w:ind w:left="360"/>
        <w:jc w:val="lowKashida"/>
        <w:rPr>
          <w:rFonts w:asciiTheme="minorBidi" w:hAnsiTheme="minorBidi" w:cstheme="minorBidi"/>
          <w:b/>
          <w:bCs/>
          <w:sz w:val="24"/>
          <w:szCs w:val="24"/>
          <w:rtl/>
        </w:rPr>
      </w:pPr>
      <w:r w:rsidRPr="00D67EDA">
        <w:rPr>
          <w:rStyle w:val="citation-147"/>
          <w:rFonts w:asciiTheme="minorBidi" w:hAnsiTheme="minorBidi" w:cstheme="minorBidi"/>
          <w:sz w:val="24"/>
          <w:szCs w:val="24"/>
          <w:rtl/>
        </w:rPr>
        <w:t>انتهت هذه الدراسة إلى أن قانون البينات الأردني رقم (30) لسنة 1952، رغم متانته التاريخية، بات يقف أمام "فجوة تقنية" تتطلب تدخلاً تشريعياً عاجلاً</w:t>
      </w:r>
      <w:r w:rsidRPr="00D67EDA">
        <w:rPr>
          <w:rStyle w:val="citation-147"/>
          <w:rFonts w:asciiTheme="minorBidi" w:hAnsiTheme="minorBidi" w:cstheme="minorBidi"/>
          <w:sz w:val="24"/>
          <w:szCs w:val="24"/>
        </w:rPr>
        <w:t xml:space="preserve">. </w:t>
      </w:r>
      <w:r w:rsidRPr="00D67EDA">
        <w:rPr>
          <w:rStyle w:val="citation-146"/>
          <w:rFonts w:asciiTheme="minorBidi" w:hAnsiTheme="minorBidi" w:cstheme="minorBidi"/>
          <w:sz w:val="24"/>
          <w:szCs w:val="24"/>
          <w:rtl/>
        </w:rPr>
        <w:t>إن الاعتماد الحالي على مفهوم "المستخرجات الحاسوبية" في المادة (47) يمثل عائقاً أمام العدالة الناجزة، كونه يفرغ الدليل الرقمي من خصائصه الجوهرية ويربطه بالورق</w:t>
      </w:r>
      <w:r w:rsidRPr="00D67EDA">
        <w:rPr>
          <w:rStyle w:val="citation-146"/>
          <w:rFonts w:asciiTheme="minorBidi" w:hAnsiTheme="minorBidi" w:cstheme="minorBidi"/>
          <w:sz w:val="24"/>
          <w:szCs w:val="24"/>
        </w:rPr>
        <w:t>.</w:t>
      </w:r>
    </w:p>
    <w:p w14:paraId="4A02FE7E" w14:textId="506B1FDF" w:rsidR="00D67EDA" w:rsidRPr="00D67EDA" w:rsidRDefault="00D67EDA" w:rsidP="00D67EDA">
      <w:pPr>
        <w:pStyle w:val="NormalWeb"/>
        <w:bidi/>
        <w:spacing w:before="0" w:beforeAutospacing="0" w:after="0" w:afterAutospacing="0"/>
        <w:jc w:val="center"/>
        <w:rPr>
          <w:rFonts w:asciiTheme="minorBidi" w:hAnsiTheme="minorBidi" w:cstheme="minorBidi"/>
          <w:b/>
          <w:bCs/>
          <w:rtl/>
        </w:rPr>
      </w:pPr>
      <w:r w:rsidRPr="00D67EDA">
        <w:rPr>
          <w:rFonts w:asciiTheme="minorBidi" w:hAnsiTheme="minorBidi" w:cstheme="minorBidi"/>
          <w:b/>
          <w:bCs/>
          <w:rtl/>
        </w:rPr>
        <w:t>قائمة المراجع</w:t>
      </w:r>
    </w:p>
    <w:p w14:paraId="6FE9F4F2"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1. المراجع العربية</w:t>
      </w:r>
      <w:r w:rsidRPr="00D67EDA">
        <w:rPr>
          <w:rFonts w:asciiTheme="minorBidi" w:hAnsiTheme="minorBidi" w:cstheme="minorBidi"/>
          <w:b/>
          <w:bCs/>
        </w:rPr>
        <w:t>:</w:t>
      </w:r>
    </w:p>
    <w:p w14:paraId="7D66EB8F" w14:textId="541839A9" w:rsidR="00D67EDA" w:rsidRPr="00D67EDA" w:rsidRDefault="00D67EDA" w:rsidP="00D67EDA">
      <w:pPr>
        <w:pStyle w:val="NormalWeb"/>
        <w:numPr>
          <w:ilvl w:val="0"/>
          <w:numId w:val="255"/>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العواملة، حازم</w:t>
      </w:r>
      <w:r>
        <w:rPr>
          <w:rFonts w:asciiTheme="minorBidi" w:hAnsiTheme="minorBidi" w:cstheme="minorBidi" w:hint="cs"/>
          <w:rtl/>
        </w:rPr>
        <w:t xml:space="preserve">، (2019)، </w:t>
      </w:r>
      <w:r w:rsidRPr="00D67EDA">
        <w:rPr>
          <w:rFonts w:asciiTheme="minorBidi" w:hAnsiTheme="minorBidi" w:cstheme="minorBidi"/>
          <w:b/>
          <w:bCs/>
          <w:rtl/>
        </w:rPr>
        <w:t>السلطة التقديرية للقاضي في تقدير البينة الإلكترونية</w:t>
      </w:r>
      <w:r w:rsidRPr="00D67EDA">
        <w:rPr>
          <w:rFonts w:asciiTheme="minorBidi" w:hAnsiTheme="minorBidi" w:cstheme="minorBidi"/>
        </w:rPr>
        <w:t xml:space="preserve">. </w:t>
      </w:r>
      <w:r w:rsidRPr="00D67EDA">
        <w:rPr>
          <w:rStyle w:val="citation-354"/>
          <w:rFonts w:asciiTheme="minorBidi" w:eastAsiaTheme="majorEastAsia" w:hAnsiTheme="minorBidi" w:cstheme="minorBidi"/>
          <w:rtl/>
        </w:rPr>
        <w:t>دار وائل للنشر</w:t>
      </w:r>
      <w:r w:rsidRPr="00D67EDA">
        <w:rPr>
          <w:rStyle w:val="citation-354"/>
          <w:rFonts w:asciiTheme="minorBidi" w:eastAsiaTheme="majorEastAsia" w:hAnsiTheme="minorBidi" w:cstheme="minorBidi"/>
        </w:rPr>
        <w:t xml:space="preserve">. </w:t>
      </w:r>
    </w:p>
    <w:p w14:paraId="7067D2B2" w14:textId="507E714F" w:rsidR="00D67EDA" w:rsidRPr="00D67EDA" w:rsidRDefault="00D67EDA" w:rsidP="00D67EDA">
      <w:pPr>
        <w:pStyle w:val="NormalWeb"/>
        <w:numPr>
          <w:ilvl w:val="0"/>
          <w:numId w:val="255"/>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بني يونس، محمد (2021)</w:t>
      </w:r>
      <w:r>
        <w:rPr>
          <w:rFonts w:asciiTheme="minorBidi" w:hAnsiTheme="minorBidi" w:cstheme="minorBidi" w:hint="cs"/>
          <w:rtl/>
        </w:rPr>
        <w:t>،</w:t>
      </w:r>
      <w:r w:rsidRPr="00D67EDA">
        <w:rPr>
          <w:rFonts w:asciiTheme="minorBidi" w:hAnsiTheme="minorBidi" w:cstheme="minorBidi"/>
          <w:rtl/>
        </w:rPr>
        <w:t xml:space="preserve"> حجية الدليل الإلكتروني في القضاء المدني الأردني: دراسة مقارنة</w:t>
      </w:r>
      <w:r w:rsidRPr="00D67EDA">
        <w:rPr>
          <w:rFonts w:asciiTheme="minorBidi" w:hAnsiTheme="minorBidi" w:cstheme="minorBidi"/>
        </w:rPr>
        <w:t xml:space="preserve">. </w:t>
      </w:r>
      <w:r w:rsidRPr="00D67EDA">
        <w:rPr>
          <w:rStyle w:val="citation-353"/>
          <w:rFonts w:asciiTheme="minorBidi" w:eastAsiaTheme="majorEastAsia" w:hAnsiTheme="minorBidi" w:cstheme="minorBidi"/>
          <w:b/>
          <w:bCs/>
          <w:rtl/>
        </w:rPr>
        <w:t>مجلة الحقوق</w:t>
      </w:r>
      <w:r w:rsidRPr="00D67EDA">
        <w:rPr>
          <w:rStyle w:val="citation-353"/>
          <w:rFonts w:asciiTheme="minorBidi" w:eastAsiaTheme="majorEastAsia" w:hAnsiTheme="minorBidi" w:cstheme="minorBidi"/>
          <w:rtl/>
        </w:rPr>
        <w:t>، جامعة مؤتة</w:t>
      </w:r>
      <w:r w:rsidRPr="00D67EDA">
        <w:rPr>
          <w:rStyle w:val="citation-353"/>
          <w:rFonts w:asciiTheme="minorBidi" w:eastAsiaTheme="majorEastAsia" w:hAnsiTheme="minorBidi" w:cstheme="minorBidi"/>
        </w:rPr>
        <w:t xml:space="preserve">. </w:t>
      </w:r>
    </w:p>
    <w:p w14:paraId="5A0AD958" w14:textId="5AEF6358" w:rsidR="00D67EDA" w:rsidRPr="00D67EDA" w:rsidRDefault="00D67EDA" w:rsidP="00D67EDA">
      <w:pPr>
        <w:pStyle w:val="NormalWeb"/>
        <w:numPr>
          <w:ilvl w:val="0"/>
          <w:numId w:val="255"/>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القضاة، مفلح</w:t>
      </w:r>
      <w:r>
        <w:rPr>
          <w:rFonts w:asciiTheme="minorBidi" w:hAnsiTheme="minorBidi" w:cstheme="minorBidi" w:hint="cs"/>
          <w:rtl/>
        </w:rPr>
        <w:t xml:space="preserve">، (2018)، </w:t>
      </w:r>
      <w:r w:rsidRPr="00D67EDA">
        <w:rPr>
          <w:rFonts w:asciiTheme="minorBidi" w:hAnsiTheme="minorBidi" w:cstheme="minorBidi"/>
          <w:b/>
          <w:bCs/>
          <w:rtl/>
        </w:rPr>
        <w:t>أصول المحاكمات المدنية والتنظيم القضائي في الأردن</w:t>
      </w:r>
      <w:r w:rsidRPr="00D67EDA">
        <w:rPr>
          <w:rFonts w:asciiTheme="minorBidi" w:hAnsiTheme="minorBidi" w:cstheme="minorBidi"/>
        </w:rPr>
        <w:t xml:space="preserve">. </w:t>
      </w:r>
      <w:r w:rsidRPr="00D67EDA">
        <w:rPr>
          <w:rStyle w:val="citation-352"/>
          <w:rFonts w:asciiTheme="minorBidi" w:hAnsiTheme="minorBidi" w:cstheme="minorBidi"/>
          <w:rtl/>
        </w:rPr>
        <w:t>دار الثقافة للنشر والتوزيع</w:t>
      </w:r>
      <w:r w:rsidRPr="00D67EDA">
        <w:rPr>
          <w:rStyle w:val="citation-352"/>
          <w:rFonts w:asciiTheme="minorBidi" w:hAnsiTheme="minorBidi" w:cstheme="minorBidi"/>
        </w:rPr>
        <w:t xml:space="preserve">. </w:t>
      </w:r>
    </w:p>
    <w:p w14:paraId="6D40E759" w14:textId="5C6D0BF3" w:rsidR="00D67EDA" w:rsidRPr="00D67EDA" w:rsidRDefault="00D67EDA" w:rsidP="00D67EDA">
      <w:pPr>
        <w:pStyle w:val="NormalWeb"/>
        <w:numPr>
          <w:ilvl w:val="0"/>
          <w:numId w:val="255"/>
        </w:numPr>
        <w:bidi/>
        <w:spacing w:before="0" w:beforeAutospacing="0" w:after="0" w:afterAutospacing="0"/>
        <w:jc w:val="lowKashida"/>
        <w:rPr>
          <w:rFonts w:asciiTheme="minorBidi" w:hAnsiTheme="minorBidi" w:cstheme="minorBidi"/>
        </w:rPr>
      </w:pPr>
      <w:r w:rsidRPr="00D67EDA">
        <w:rPr>
          <w:rFonts w:asciiTheme="minorBidi" w:hAnsiTheme="minorBidi" w:cstheme="minorBidi"/>
          <w:rtl/>
        </w:rPr>
        <w:t>منصور، محمد حسين</w:t>
      </w:r>
      <w:r>
        <w:rPr>
          <w:rFonts w:asciiTheme="minorBidi" w:hAnsiTheme="minorBidi" w:cstheme="minorBidi" w:hint="cs"/>
          <w:rtl/>
        </w:rPr>
        <w:t xml:space="preserve">، (2020)، </w:t>
      </w:r>
      <w:r w:rsidRPr="00D67EDA">
        <w:rPr>
          <w:rFonts w:asciiTheme="minorBidi" w:hAnsiTheme="minorBidi" w:cstheme="minorBidi"/>
          <w:b/>
          <w:bCs/>
          <w:rtl/>
        </w:rPr>
        <w:t>الإثبات الإلكتروني في المواد المدنية والتجارية</w:t>
      </w:r>
      <w:r w:rsidRPr="00D67EDA">
        <w:rPr>
          <w:rFonts w:asciiTheme="minorBidi" w:hAnsiTheme="minorBidi" w:cstheme="minorBidi"/>
        </w:rPr>
        <w:t xml:space="preserve">. </w:t>
      </w:r>
      <w:r w:rsidRPr="00D67EDA">
        <w:rPr>
          <w:rStyle w:val="citation-351"/>
          <w:rFonts w:asciiTheme="minorBidi" w:hAnsiTheme="minorBidi" w:cstheme="minorBidi"/>
          <w:rtl/>
        </w:rPr>
        <w:t>دار الجامعة الجديدة</w:t>
      </w:r>
      <w:r w:rsidRPr="00D67EDA">
        <w:rPr>
          <w:rStyle w:val="citation-351"/>
          <w:rFonts w:asciiTheme="minorBidi" w:hAnsiTheme="minorBidi" w:cstheme="minorBidi"/>
        </w:rPr>
        <w:t xml:space="preserve">. </w:t>
      </w:r>
    </w:p>
    <w:p w14:paraId="6DF82E20" w14:textId="77777777" w:rsidR="00D67EDA" w:rsidRPr="00D67EDA" w:rsidRDefault="00D67EDA" w:rsidP="00D67EDA">
      <w:pPr>
        <w:pStyle w:val="NormalWeb"/>
        <w:bidi/>
        <w:spacing w:before="0" w:beforeAutospacing="0" w:after="0" w:afterAutospacing="0"/>
        <w:jc w:val="lowKashida"/>
        <w:rPr>
          <w:rFonts w:asciiTheme="minorBidi" w:hAnsiTheme="minorBidi" w:cstheme="minorBidi"/>
        </w:rPr>
      </w:pPr>
      <w:r w:rsidRPr="00D67EDA">
        <w:rPr>
          <w:rFonts w:asciiTheme="minorBidi" w:hAnsiTheme="minorBidi" w:cstheme="minorBidi"/>
          <w:b/>
          <w:bCs/>
          <w:rtl/>
        </w:rPr>
        <w:t>2.</w:t>
      </w:r>
      <w:r w:rsidRPr="00D67EDA">
        <w:rPr>
          <w:rFonts w:asciiTheme="minorBidi" w:hAnsiTheme="minorBidi" w:cstheme="minorBidi"/>
          <w:b/>
          <w:bCs/>
        </w:rPr>
        <w:t xml:space="preserve"> </w:t>
      </w:r>
      <w:r w:rsidRPr="00D67EDA">
        <w:rPr>
          <w:rFonts w:asciiTheme="minorBidi" w:hAnsiTheme="minorBidi" w:cstheme="minorBidi"/>
          <w:b/>
          <w:bCs/>
          <w:rtl/>
        </w:rPr>
        <w:t>التشريعات</w:t>
      </w:r>
      <w:r w:rsidRPr="00D67EDA">
        <w:rPr>
          <w:rFonts w:asciiTheme="minorBidi" w:hAnsiTheme="minorBidi" w:cstheme="minorBidi"/>
          <w:b/>
          <w:bCs/>
        </w:rPr>
        <w:t>:</w:t>
      </w:r>
    </w:p>
    <w:p w14:paraId="650E77EF" w14:textId="77777777" w:rsidR="00D67EDA" w:rsidRPr="00D67EDA" w:rsidRDefault="00D67EDA" w:rsidP="00D67EDA">
      <w:pPr>
        <w:pStyle w:val="NormalWeb"/>
        <w:numPr>
          <w:ilvl w:val="0"/>
          <w:numId w:val="256"/>
        </w:numPr>
        <w:bidi/>
        <w:spacing w:before="0" w:beforeAutospacing="0" w:after="0" w:afterAutospacing="0"/>
        <w:jc w:val="lowKashida"/>
        <w:rPr>
          <w:rFonts w:asciiTheme="minorBidi" w:hAnsiTheme="minorBidi" w:cstheme="minorBidi"/>
        </w:rPr>
      </w:pPr>
      <w:r w:rsidRPr="00D67EDA">
        <w:rPr>
          <w:rStyle w:val="citation-350"/>
          <w:rFonts w:asciiTheme="minorBidi" w:hAnsiTheme="minorBidi" w:cstheme="minorBidi"/>
          <w:rtl/>
        </w:rPr>
        <w:t>قانون البينات الأردني رقم (30) لسنة 1952 وتعديلاته</w:t>
      </w:r>
      <w:r w:rsidRPr="00D67EDA">
        <w:rPr>
          <w:rStyle w:val="citation-350"/>
          <w:rFonts w:asciiTheme="minorBidi" w:hAnsiTheme="minorBidi" w:cstheme="minorBidi"/>
        </w:rPr>
        <w:t xml:space="preserve">. </w:t>
      </w:r>
    </w:p>
    <w:p w14:paraId="771C04D5" w14:textId="77777777" w:rsidR="00D67EDA" w:rsidRPr="00D67EDA" w:rsidRDefault="00D67EDA" w:rsidP="00D67EDA">
      <w:pPr>
        <w:pStyle w:val="NormalWeb"/>
        <w:numPr>
          <w:ilvl w:val="0"/>
          <w:numId w:val="256"/>
        </w:numPr>
        <w:bidi/>
        <w:spacing w:before="0" w:beforeAutospacing="0" w:after="0" w:afterAutospacing="0"/>
        <w:jc w:val="lowKashida"/>
        <w:rPr>
          <w:rFonts w:asciiTheme="minorBidi" w:hAnsiTheme="minorBidi" w:cstheme="minorBidi"/>
        </w:rPr>
      </w:pPr>
      <w:r w:rsidRPr="00D67EDA">
        <w:rPr>
          <w:rStyle w:val="citation-349"/>
          <w:rFonts w:asciiTheme="minorBidi" w:hAnsiTheme="minorBidi" w:cstheme="minorBidi"/>
          <w:rtl/>
        </w:rPr>
        <w:t>قانون المعاملات الإلكترونية الأردني رقم (15) لسنة 2015</w:t>
      </w:r>
      <w:r w:rsidRPr="00D67EDA">
        <w:rPr>
          <w:rStyle w:val="citation-349"/>
          <w:rFonts w:asciiTheme="minorBidi" w:hAnsiTheme="minorBidi" w:cstheme="minorBidi"/>
        </w:rPr>
        <w:t xml:space="preserve">. </w:t>
      </w:r>
    </w:p>
    <w:p w14:paraId="08F246A2" w14:textId="77777777" w:rsidR="00D67EDA" w:rsidRPr="00D67EDA" w:rsidRDefault="00D67EDA" w:rsidP="00D67EDA">
      <w:pPr>
        <w:pStyle w:val="NormalWeb"/>
        <w:numPr>
          <w:ilvl w:val="0"/>
          <w:numId w:val="256"/>
        </w:numPr>
        <w:bidi/>
        <w:spacing w:before="0" w:beforeAutospacing="0" w:after="0" w:afterAutospacing="0"/>
        <w:jc w:val="lowKashida"/>
        <w:rPr>
          <w:rFonts w:asciiTheme="minorBidi" w:hAnsiTheme="minorBidi" w:cstheme="minorBidi"/>
        </w:rPr>
      </w:pPr>
      <w:r w:rsidRPr="00D67EDA">
        <w:rPr>
          <w:rStyle w:val="citation-348"/>
          <w:rFonts w:asciiTheme="minorBidi" w:hAnsiTheme="minorBidi" w:cstheme="minorBidi"/>
          <w:rtl/>
        </w:rPr>
        <w:t>مرسوم بقانون اتحادي إماراتي رقم (35) لسنة 2022 بشأن الإثبات في المعاملات المدنية والتجارية</w:t>
      </w:r>
      <w:r w:rsidRPr="00D67EDA">
        <w:rPr>
          <w:rStyle w:val="citation-348"/>
          <w:rFonts w:asciiTheme="minorBidi" w:hAnsiTheme="minorBidi" w:cstheme="minorBidi"/>
        </w:rPr>
        <w:t xml:space="preserve">. </w:t>
      </w:r>
    </w:p>
    <w:p w14:paraId="518C7404" w14:textId="77777777" w:rsidR="00D67EDA" w:rsidRPr="00D67EDA" w:rsidRDefault="00D67EDA" w:rsidP="00D67EDA">
      <w:pPr>
        <w:pStyle w:val="NormalWeb"/>
        <w:bidi/>
        <w:spacing w:before="0" w:beforeAutospacing="0" w:after="0" w:afterAutospacing="0"/>
        <w:rPr>
          <w:rFonts w:asciiTheme="minorBidi" w:hAnsiTheme="minorBidi" w:cstheme="minorBidi"/>
        </w:rPr>
      </w:pPr>
      <w:r w:rsidRPr="00D67EDA">
        <w:rPr>
          <w:rFonts w:asciiTheme="minorBidi" w:hAnsiTheme="minorBidi" w:cstheme="minorBidi"/>
          <w:b/>
          <w:bCs/>
          <w:rtl/>
        </w:rPr>
        <w:t>3.</w:t>
      </w:r>
      <w:r w:rsidRPr="00D67EDA">
        <w:rPr>
          <w:rFonts w:asciiTheme="minorBidi" w:hAnsiTheme="minorBidi" w:cstheme="minorBidi"/>
          <w:b/>
          <w:bCs/>
        </w:rPr>
        <w:t xml:space="preserve"> </w:t>
      </w:r>
      <w:r w:rsidRPr="00D67EDA">
        <w:rPr>
          <w:rFonts w:asciiTheme="minorBidi" w:hAnsiTheme="minorBidi" w:cstheme="minorBidi"/>
          <w:b/>
          <w:bCs/>
          <w:rtl/>
        </w:rPr>
        <w:t>المراجع الأجنبية</w:t>
      </w:r>
      <w:r w:rsidRPr="00D67EDA">
        <w:rPr>
          <w:rFonts w:asciiTheme="minorBidi" w:hAnsiTheme="minorBidi" w:cstheme="minorBidi"/>
          <w:b/>
          <w:bCs/>
        </w:rPr>
        <w:t>:</w:t>
      </w:r>
    </w:p>
    <w:p w14:paraId="144B9C04" w14:textId="77777777" w:rsidR="00D67EDA" w:rsidRPr="00D67EDA" w:rsidRDefault="00D67EDA" w:rsidP="00D67EDA">
      <w:pPr>
        <w:pStyle w:val="NormalWeb"/>
        <w:numPr>
          <w:ilvl w:val="0"/>
          <w:numId w:val="257"/>
        </w:numPr>
        <w:spacing w:before="0" w:beforeAutospacing="0" w:after="0" w:afterAutospacing="0"/>
        <w:rPr>
          <w:rFonts w:asciiTheme="minorBidi" w:hAnsiTheme="minorBidi" w:cstheme="minorBidi"/>
        </w:rPr>
      </w:pPr>
      <w:r w:rsidRPr="00D67EDA">
        <w:rPr>
          <w:rFonts w:asciiTheme="minorBidi" w:hAnsiTheme="minorBidi" w:cstheme="minorBidi"/>
        </w:rPr>
        <w:t xml:space="preserve">Casey, E. (2022). </w:t>
      </w:r>
      <w:r w:rsidRPr="00D67EDA">
        <w:rPr>
          <w:rFonts w:asciiTheme="minorBidi" w:hAnsiTheme="minorBidi" w:cstheme="minorBidi"/>
          <w:b/>
          <w:bCs/>
        </w:rPr>
        <w:t>Digital Evidence and Computer Crime</w:t>
      </w:r>
      <w:r w:rsidRPr="00D67EDA">
        <w:rPr>
          <w:rFonts w:asciiTheme="minorBidi" w:hAnsiTheme="minorBidi" w:cstheme="minorBidi"/>
        </w:rPr>
        <w:t xml:space="preserve">. </w:t>
      </w:r>
      <w:r w:rsidRPr="00D67EDA">
        <w:rPr>
          <w:rStyle w:val="citation-347"/>
          <w:rFonts w:asciiTheme="minorBidi" w:hAnsiTheme="minorBidi" w:cstheme="minorBidi"/>
        </w:rPr>
        <w:t xml:space="preserve">Academic Press. </w:t>
      </w:r>
    </w:p>
    <w:p w14:paraId="33AD01C5" w14:textId="77777777" w:rsidR="00D67EDA" w:rsidRPr="00D67EDA" w:rsidRDefault="00D67EDA" w:rsidP="00D67EDA">
      <w:pPr>
        <w:pStyle w:val="NormalWeb"/>
        <w:numPr>
          <w:ilvl w:val="0"/>
          <w:numId w:val="257"/>
        </w:numPr>
        <w:spacing w:before="0" w:beforeAutospacing="0" w:after="0" w:afterAutospacing="0"/>
        <w:rPr>
          <w:rFonts w:asciiTheme="minorBidi" w:hAnsiTheme="minorBidi" w:cstheme="minorBidi"/>
        </w:rPr>
      </w:pPr>
      <w:r w:rsidRPr="00D67EDA">
        <w:rPr>
          <w:rFonts w:asciiTheme="minorBidi" w:hAnsiTheme="minorBidi" w:cstheme="minorBidi"/>
        </w:rPr>
        <w:t xml:space="preserve">Code Civil Français. (2020). </w:t>
      </w:r>
      <w:r w:rsidRPr="00D67EDA">
        <w:rPr>
          <w:rStyle w:val="citation-346"/>
          <w:rFonts w:asciiTheme="minorBidi" w:hAnsiTheme="minorBidi" w:cstheme="minorBidi"/>
          <w:b/>
          <w:bCs/>
        </w:rPr>
        <w:t>Articles on Evidence Law (1366-1367)</w:t>
      </w:r>
      <w:r w:rsidRPr="00D67EDA">
        <w:rPr>
          <w:rStyle w:val="citation-346"/>
          <w:rFonts w:asciiTheme="minorBidi" w:hAnsiTheme="minorBidi" w:cstheme="minorBidi"/>
        </w:rPr>
        <w:t xml:space="preserve">. </w:t>
      </w:r>
    </w:p>
    <w:p w14:paraId="0F29C4E0" w14:textId="77777777" w:rsidR="00D67EDA" w:rsidRPr="00D67EDA" w:rsidRDefault="00D67EDA" w:rsidP="00D67EDA">
      <w:pPr>
        <w:pStyle w:val="NormalWeb"/>
        <w:numPr>
          <w:ilvl w:val="0"/>
          <w:numId w:val="257"/>
        </w:numPr>
        <w:spacing w:before="0" w:beforeAutospacing="0" w:after="0" w:afterAutospacing="0"/>
        <w:rPr>
          <w:rFonts w:asciiTheme="minorBidi" w:hAnsiTheme="minorBidi" w:cstheme="minorBidi"/>
        </w:rPr>
      </w:pPr>
      <w:r w:rsidRPr="00D67EDA">
        <w:rPr>
          <w:rFonts w:asciiTheme="minorBidi" w:hAnsiTheme="minorBidi" w:cstheme="minorBidi"/>
        </w:rPr>
        <w:t xml:space="preserve">Hassan, R. (2024). AI-Generated Evidence and the Future of Judicial Proof. </w:t>
      </w:r>
      <w:r w:rsidRPr="00D67EDA">
        <w:rPr>
          <w:rStyle w:val="citation-345"/>
          <w:rFonts w:asciiTheme="minorBidi" w:hAnsiTheme="minorBidi" w:cstheme="minorBidi"/>
          <w:b/>
          <w:bCs/>
        </w:rPr>
        <w:t>International Journal of Legal Technology</w:t>
      </w:r>
      <w:r w:rsidRPr="00D67EDA">
        <w:rPr>
          <w:rStyle w:val="citation-345"/>
          <w:rFonts w:asciiTheme="minorBidi" w:hAnsiTheme="minorBidi" w:cstheme="minorBidi"/>
        </w:rPr>
        <w:t xml:space="preserve">, 32(1). </w:t>
      </w:r>
    </w:p>
    <w:p w14:paraId="507284D7" w14:textId="77777777" w:rsidR="00D67EDA" w:rsidRPr="00D67EDA" w:rsidRDefault="00D67EDA" w:rsidP="00D67EDA">
      <w:pPr>
        <w:pStyle w:val="NormalWeb"/>
        <w:numPr>
          <w:ilvl w:val="0"/>
          <w:numId w:val="257"/>
        </w:numPr>
        <w:spacing w:before="0" w:beforeAutospacing="0" w:after="0" w:afterAutospacing="0"/>
        <w:rPr>
          <w:rFonts w:asciiTheme="minorBidi" w:hAnsiTheme="minorBidi" w:cstheme="minorBidi"/>
        </w:rPr>
      </w:pPr>
      <w:r w:rsidRPr="00D67EDA">
        <w:rPr>
          <w:rFonts w:asciiTheme="minorBidi" w:hAnsiTheme="minorBidi" w:cstheme="minorBidi"/>
        </w:rPr>
        <w:t xml:space="preserve">Mason, S., &amp; Seng, D. (Eds.). (2023). </w:t>
      </w:r>
      <w:r w:rsidRPr="00D67EDA">
        <w:rPr>
          <w:rFonts w:asciiTheme="minorBidi" w:hAnsiTheme="minorBidi" w:cstheme="minorBidi"/>
          <w:b/>
          <w:bCs/>
        </w:rPr>
        <w:t>Electronic Evidence and Electronic Signatures</w:t>
      </w:r>
      <w:r w:rsidRPr="00D67EDA">
        <w:rPr>
          <w:rFonts w:asciiTheme="minorBidi" w:hAnsiTheme="minorBidi" w:cstheme="minorBidi"/>
        </w:rPr>
        <w:t xml:space="preserve">. </w:t>
      </w:r>
      <w:r w:rsidRPr="00D67EDA">
        <w:rPr>
          <w:rStyle w:val="citation-344"/>
          <w:rFonts w:asciiTheme="minorBidi" w:hAnsiTheme="minorBidi" w:cstheme="minorBidi"/>
        </w:rPr>
        <w:t xml:space="preserve">University of London Press. </w:t>
      </w:r>
    </w:p>
    <w:p w14:paraId="545F002D" w14:textId="77777777" w:rsidR="00D67EDA" w:rsidRPr="00D67EDA" w:rsidRDefault="00D67EDA" w:rsidP="00D67EDA">
      <w:pPr>
        <w:pStyle w:val="NormalWeb"/>
        <w:numPr>
          <w:ilvl w:val="0"/>
          <w:numId w:val="257"/>
        </w:numPr>
        <w:spacing w:before="0" w:beforeAutospacing="0" w:after="0" w:afterAutospacing="0"/>
        <w:rPr>
          <w:rFonts w:asciiTheme="minorBidi" w:hAnsiTheme="minorBidi" w:cstheme="minorBidi"/>
        </w:rPr>
      </w:pPr>
      <w:r w:rsidRPr="00D67EDA">
        <w:rPr>
          <w:rFonts w:asciiTheme="minorBidi" w:hAnsiTheme="minorBidi" w:cstheme="minorBidi"/>
        </w:rPr>
        <w:t xml:space="preserve">Reed, C. (2021). Digital Evidence: The Problem of Integrity. </w:t>
      </w:r>
      <w:r w:rsidRPr="00D67EDA">
        <w:rPr>
          <w:rStyle w:val="citation-343"/>
          <w:rFonts w:asciiTheme="minorBidi" w:hAnsiTheme="minorBidi" w:cstheme="minorBidi"/>
          <w:b/>
          <w:bCs/>
        </w:rPr>
        <w:t>Journal of Law and Technology</w:t>
      </w:r>
      <w:r w:rsidRPr="00D67EDA">
        <w:rPr>
          <w:rStyle w:val="citation-343"/>
          <w:rFonts w:asciiTheme="minorBidi" w:hAnsiTheme="minorBidi" w:cstheme="minorBidi"/>
        </w:rPr>
        <w:t xml:space="preserve">, 15(2). </w:t>
      </w:r>
    </w:p>
    <w:p w14:paraId="5B96908B" w14:textId="77777777" w:rsidR="00D67EDA" w:rsidRPr="00D67EDA" w:rsidRDefault="00D67EDA" w:rsidP="00D67EDA">
      <w:pPr>
        <w:pStyle w:val="NormalWeb"/>
        <w:numPr>
          <w:ilvl w:val="0"/>
          <w:numId w:val="257"/>
        </w:numPr>
        <w:spacing w:before="0" w:beforeAutospacing="0" w:after="0" w:afterAutospacing="0"/>
        <w:rPr>
          <w:rFonts w:asciiTheme="minorBidi" w:hAnsiTheme="minorBidi" w:cstheme="minorBidi"/>
        </w:rPr>
      </w:pPr>
      <w:r w:rsidRPr="00D67EDA">
        <w:rPr>
          <w:rFonts w:asciiTheme="minorBidi" w:hAnsiTheme="minorBidi" w:cstheme="minorBidi"/>
        </w:rPr>
        <w:t xml:space="preserve">UNCITRAL. (2022). </w:t>
      </w:r>
      <w:r w:rsidRPr="00D67EDA">
        <w:rPr>
          <w:rFonts w:asciiTheme="minorBidi" w:hAnsiTheme="minorBidi" w:cstheme="minorBidi"/>
          <w:b/>
          <w:bCs/>
        </w:rPr>
        <w:t>Model Law on Electronic Commerce</w:t>
      </w:r>
      <w:r w:rsidRPr="00D67EDA">
        <w:rPr>
          <w:rFonts w:asciiTheme="minorBidi" w:hAnsiTheme="minorBidi" w:cstheme="minorBidi"/>
        </w:rPr>
        <w:t xml:space="preserve">. </w:t>
      </w:r>
      <w:r w:rsidRPr="00D67EDA">
        <w:rPr>
          <w:rStyle w:val="citation-342"/>
          <w:rFonts w:asciiTheme="minorBidi" w:hAnsiTheme="minorBidi" w:cstheme="minorBidi"/>
        </w:rPr>
        <w:t xml:space="preserve">United Nations Publication. </w:t>
      </w:r>
    </w:p>
    <w:p w14:paraId="5885CC09" w14:textId="06EB8DF9" w:rsidR="00CB763C" w:rsidRPr="00580060" w:rsidRDefault="00CB763C" w:rsidP="00580060">
      <w:pPr>
        <w:spacing w:after="0" w:line="240" w:lineRule="auto"/>
        <w:jc w:val="lowKashida"/>
        <w:rPr>
          <w:rFonts w:asciiTheme="minorBidi" w:hAnsiTheme="minorBidi" w:cstheme="minorBidi"/>
          <w:sz w:val="24"/>
          <w:szCs w:val="24"/>
          <w:rtl/>
        </w:rPr>
      </w:pPr>
    </w:p>
    <w:sectPr w:rsidR="00CB763C" w:rsidRPr="00580060" w:rsidSect="00F6329B">
      <w:headerReference w:type="even" r:id="rId11"/>
      <w:headerReference w:type="default" r:id="rId12"/>
      <w:footerReference w:type="even" r:id="rId13"/>
      <w:footerReference w:type="default" r:id="rId14"/>
      <w:headerReference w:type="first" r:id="rId15"/>
      <w:footnotePr>
        <w:numRestart w:val="eachPage"/>
      </w:footnotePr>
      <w:pgSz w:w="11907" w:h="16840" w:code="9"/>
      <w:pgMar w:top="567" w:right="851" w:bottom="567" w:left="851" w:header="737" w:footer="397"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42593" w14:textId="77777777" w:rsidR="008C6295" w:rsidRDefault="008C6295" w:rsidP="00FA48DE">
      <w:pPr>
        <w:spacing w:after="0" w:line="240" w:lineRule="auto"/>
      </w:pPr>
      <w:r>
        <w:separator/>
      </w:r>
    </w:p>
  </w:endnote>
  <w:endnote w:type="continuationSeparator" w:id="0">
    <w:p w14:paraId="10D42C9C" w14:textId="77777777" w:rsidR="008C6295" w:rsidRDefault="008C6295" w:rsidP="00FA4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Unikurd Goran">
    <w:charset w:val="00"/>
    <w:family w:val="swiss"/>
    <w:pitch w:val="variable"/>
    <w:sig w:usb0="00002007" w:usb1="80000000" w:usb2="00000008" w:usb3="00000000" w:csb0="00000051" w:csb1="00000000"/>
  </w:font>
  <w:font w:name="Traditional Arabic">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coType Thuluth">
    <w:charset w:val="B2"/>
    <w:family w:val="auto"/>
    <w:pitch w:val="variable"/>
    <w:sig w:usb0="00002001" w:usb1="80000000" w:usb2="00000008" w:usb3="00000000" w:csb0="00000040" w:csb1="00000000"/>
  </w:font>
  <w:font w:name="PT Bold Heading">
    <w:altName w:val="Arial"/>
    <w:charset w:val="B2"/>
    <w:family w:val="auto"/>
    <w:pitch w:val="variable"/>
    <w:sig w:usb0="00002001" w:usb1="80000000" w:usb2="00000008" w:usb3="00000000" w:csb0="00000040" w:csb1="00000000"/>
  </w:font>
  <w:font w:name="Arabic Transparent">
    <w:panose1 w:val="020B0604020202020204"/>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AC828" w14:textId="0FBE8B3F" w:rsidR="001024F1" w:rsidRPr="00DC13F0" w:rsidRDefault="001024F1" w:rsidP="00C153A4">
    <w:pPr>
      <w:pStyle w:val="a3"/>
      <w:jc w:val="center"/>
      <w:rPr>
        <w:b/>
        <w:bCs/>
        <w:rtl/>
        <w:lang w:bidi="ar-IQ"/>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7CD3B" w14:textId="31B74001" w:rsidR="001024F1" w:rsidRPr="00DC13F0" w:rsidRDefault="001024F1" w:rsidP="00C153A4">
    <w:pPr>
      <w:pStyle w:val="a3"/>
      <w:jc w:val="center"/>
      <w:rPr>
        <w:b/>
        <w:bCs/>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C471D" w14:textId="77777777" w:rsidR="008C6295" w:rsidRDefault="008C6295" w:rsidP="00FA48DE">
      <w:pPr>
        <w:spacing w:after="0" w:line="240" w:lineRule="auto"/>
      </w:pPr>
      <w:r>
        <w:separator/>
      </w:r>
    </w:p>
  </w:footnote>
  <w:footnote w:type="continuationSeparator" w:id="0">
    <w:p w14:paraId="18A9B906" w14:textId="77777777" w:rsidR="008C6295" w:rsidRDefault="008C6295" w:rsidP="00FA48DE">
      <w:pPr>
        <w:spacing w:after="0" w:line="240" w:lineRule="auto"/>
      </w:pPr>
      <w:r>
        <w:continuationSeparator/>
      </w:r>
    </w:p>
  </w:footnote>
  <w:footnote w:id="1">
    <w:p w14:paraId="529D6FB5" w14:textId="3F422E1E" w:rsidR="004D64B0" w:rsidRPr="00D67EDA" w:rsidRDefault="004D64B0" w:rsidP="00D67EDA">
      <w:pPr>
        <w:pStyle w:val="FootnoteText"/>
        <w:jc w:val="lowKashida"/>
        <w:rPr>
          <w:rFonts w:asciiTheme="minorBidi" w:hAnsiTheme="minorBidi" w:cstheme="minorBidi"/>
        </w:rPr>
      </w:pPr>
      <w:r>
        <w:rPr>
          <w:rStyle w:val="FootnoteReference"/>
          <w:rFonts w:asciiTheme="minorBidi" w:hAnsiTheme="minorBidi" w:cstheme="minorBidi"/>
          <w:rtl/>
        </w:rPr>
        <w:t>(</w:t>
      </w:r>
      <w:r w:rsidRPr="00D67EDA">
        <w:rPr>
          <w:rStyle w:val="FootnoteReference"/>
          <w:rFonts w:asciiTheme="minorBidi" w:hAnsiTheme="minorBidi" w:cstheme="minorBidi"/>
          <w:rtl/>
        </w:rPr>
        <w:footnoteRef/>
      </w:r>
      <w:r>
        <w:rPr>
          <w:rStyle w:val="FootnoteReference"/>
          <w:rFonts w:asciiTheme="minorBidi" w:hAnsiTheme="minorBidi" w:cstheme="minorBidi"/>
          <w:rtl/>
        </w:rPr>
        <w:t>)</w:t>
      </w:r>
      <w:r w:rsidRPr="00D67EDA">
        <w:rPr>
          <w:rFonts w:asciiTheme="minorBidi" w:hAnsiTheme="minorBidi" w:cstheme="minorBidi"/>
          <w:rtl/>
        </w:rPr>
        <w:t xml:space="preserve"> العواملة، حازم، </w:t>
      </w:r>
      <w:r w:rsidRPr="00D67EDA">
        <w:rPr>
          <w:rFonts w:asciiTheme="minorBidi" w:hAnsiTheme="minorBidi" w:cstheme="minorBidi"/>
          <w:i/>
          <w:iCs/>
          <w:rtl/>
        </w:rPr>
        <w:t>السلطة التقديرية للقاضي في تقدير البينة الإلكترونية</w:t>
      </w:r>
      <w:r w:rsidRPr="00D67EDA">
        <w:rPr>
          <w:rFonts w:asciiTheme="minorBidi" w:hAnsiTheme="minorBidi" w:cstheme="minorBidi"/>
          <w:rtl/>
        </w:rPr>
        <w:t>، دار وائل للنشر، عمان، 2019</w:t>
      </w:r>
      <w:r w:rsidRPr="00D67EDA">
        <w:rPr>
          <w:rFonts w:asciiTheme="minorBidi" w:hAnsiTheme="minorBidi" w:cstheme="minorBidi"/>
        </w:rPr>
        <w:t>.</w:t>
      </w:r>
    </w:p>
  </w:footnote>
  <w:footnote w:id="2">
    <w:p w14:paraId="00C70A3F" w14:textId="4E9B3464" w:rsidR="004D64B0" w:rsidRPr="00D67EDA" w:rsidRDefault="004D64B0" w:rsidP="00D67EDA">
      <w:pPr>
        <w:pStyle w:val="FootnoteText"/>
        <w:jc w:val="lowKashida"/>
        <w:rPr>
          <w:rFonts w:asciiTheme="minorBidi" w:hAnsiTheme="minorBidi" w:cstheme="minorBidi"/>
        </w:rPr>
      </w:pPr>
      <w:r>
        <w:rPr>
          <w:rStyle w:val="FootnoteReference"/>
          <w:rFonts w:asciiTheme="minorBidi" w:hAnsiTheme="minorBidi" w:cstheme="minorBidi"/>
          <w:rtl/>
        </w:rPr>
        <w:t>(</w:t>
      </w:r>
      <w:r w:rsidRPr="00D67EDA">
        <w:rPr>
          <w:rStyle w:val="FootnoteReference"/>
          <w:rFonts w:asciiTheme="minorBidi" w:hAnsiTheme="minorBidi" w:cstheme="minorBidi"/>
          <w:rtl/>
        </w:rPr>
        <w:footnoteRef/>
      </w:r>
      <w:r>
        <w:rPr>
          <w:rStyle w:val="FootnoteReference"/>
          <w:rFonts w:asciiTheme="minorBidi" w:hAnsiTheme="minorBidi" w:cstheme="minorBidi"/>
          <w:rtl/>
        </w:rPr>
        <w:t>)</w:t>
      </w:r>
      <w:r w:rsidRPr="00D67EDA">
        <w:rPr>
          <w:rFonts w:asciiTheme="minorBidi" w:hAnsiTheme="minorBidi" w:cstheme="minorBidi"/>
          <w:rtl/>
        </w:rPr>
        <w:t xml:space="preserve"> بني يونس، محمد، "حجية الدليل الإلكتروني في القضاء المدني الأردني</w:t>
      </w:r>
      <w:r w:rsidRPr="00D67EDA">
        <w:rPr>
          <w:rFonts w:asciiTheme="minorBidi" w:hAnsiTheme="minorBidi" w:cstheme="minorBidi"/>
        </w:rPr>
        <w:t>"</w:t>
      </w:r>
      <w:r w:rsidRPr="00D67EDA">
        <w:rPr>
          <w:rFonts w:asciiTheme="minorBidi" w:hAnsiTheme="minorBidi" w:cstheme="minorBidi"/>
          <w:rtl/>
        </w:rPr>
        <w:t xml:space="preserve">، </w:t>
      </w:r>
      <w:r w:rsidRPr="00D67EDA">
        <w:rPr>
          <w:rFonts w:asciiTheme="minorBidi" w:hAnsiTheme="minorBidi" w:cstheme="minorBidi"/>
          <w:i/>
          <w:iCs/>
          <w:rtl/>
        </w:rPr>
        <w:t>مجلة الحقوق</w:t>
      </w:r>
      <w:r w:rsidRPr="00D67EDA">
        <w:rPr>
          <w:rFonts w:asciiTheme="minorBidi" w:hAnsiTheme="minorBidi" w:cstheme="minorBidi"/>
          <w:rtl/>
        </w:rPr>
        <w:t>، جامعة مؤتة، 2021</w:t>
      </w:r>
      <w:r w:rsidRPr="00D67EDA">
        <w:rPr>
          <w:rFonts w:asciiTheme="minorBidi" w:hAnsiTheme="minorBidi" w:cstheme="minorBidi"/>
        </w:rPr>
        <w:t>.</w:t>
      </w:r>
    </w:p>
  </w:footnote>
  <w:footnote w:id="3">
    <w:p w14:paraId="0D9FF760" w14:textId="40644809" w:rsidR="004D64B0" w:rsidRPr="00D67EDA" w:rsidRDefault="004D64B0" w:rsidP="00D67EDA">
      <w:pPr>
        <w:pStyle w:val="FootnoteText"/>
        <w:jc w:val="lowKashida"/>
        <w:rPr>
          <w:rFonts w:asciiTheme="minorBidi" w:hAnsiTheme="minorBidi" w:cstheme="minorBidi"/>
        </w:rPr>
      </w:pPr>
      <w:r>
        <w:rPr>
          <w:rStyle w:val="FootnoteReference"/>
          <w:rFonts w:asciiTheme="minorBidi" w:hAnsiTheme="minorBidi" w:cstheme="minorBidi"/>
          <w:rtl/>
        </w:rPr>
        <w:t>(</w:t>
      </w:r>
      <w:r w:rsidRPr="00D67EDA">
        <w:rPr>
          <w:rStyle w:val="FootnoteReference"/>
          <w:rFonts w:asciiTheme="minorBidi" w:hAnsiTheme="minorBidi" w:cstheme="minorBidi"/>
          <w:rtl/>
        </w:rPr>
        <w:footnoteRef/>
      </w:r>
      <w:r>
        <w:rPr>
          <w:rStyle w:val="FootnoteReference"/>
          <w:rFonts w:asciiTheme="minorBidi" w:hAnsiTheme="minorBidi" w:cstheme="minorBidi"/>
          <w:rtl/>
        </w:rPr>
        <w:t>)</w:t>
      </w:r>
      <w:r w:rsidRPr="00D67EDA">
        <w:rPr>
          <w:rFonts w:asciiTheme="minorBidi" w:hAnsiTheme="minorBidi" w:cstheme="minorBidi"/>
          <w:rtl/>
        </w:rPr>
        <w:t xml:space="preserve"> نظر: المادة (13) من قانون المعاملات الإلكترونية الأردني رقم (15) لسنة 2015</w:t>
      </w:r>
      <w:r w:rsidRPr="00D67EDA">
        <w:rPr>
          <w:rFonts w:asciiTheme="minorBidi" w:hAnsiTheme="minorBidi" w:cstheme="minorBidi"/>
        </w:rPr>
        <w:t>.</w:t>
      </w:r>
    </w:p>
  </w:footnote>
  <w:footnote w:id="4">
    <w:p w14:paraId="1A6708A7" w14:textId="3D83D7E5" w:rsidR="004D64B0" w:rsidRPr="00D67EDA" w:rsidRDefault="004D64B0" w:rsidP="00D67EDA">
      <w:pPr>
        <w:pStyle w:val="FootnoteText"/>
        <w:jc w:val="lowKashida"/>
        <w:rPr>
          <w:rFonts w:asciiTheme="minorBidi" w:hAnsiTheme="minorBidi" w:cstheme="minorBidi"/>
        </w:rPr>
      </w:pPr>
      <w:r>
        <w:rPr>
          <w:rStyle w:val="FootnoteReference"/>
          <w:rFonts w:asciiTheme="minorBidi" w:hAnsiTheme="minorBidi" w:cstheme="minorBidi"/>
          <w:rtl/>
        </w:rPr>
        <w:t>(</w:t>
      </w:r>
      <w:r w:rsidRPr="00D67EDA">
        <w:rPr>
          <w:rStyle w:val="FootnoteReference"/>
          <w:rFonts w:asciiTheme="minorBidi" w:hAnsiTheme="minorBidi" w:cstheme="minorBidi"/>
          <w:rtl/>
        </w:rPr>
        <w:footnoteRef/>
      </w:r>
      <w:r>
        <w:rPr>
          <w:rStyle w:val="FootnoteReference"/>
          <w:rFonts w:asciiTheme="minorBidi" w:hAnsiTheme="minorBidi" w:cstheme="minorBidi"/>
          <w:rtl/>
        </w:rPr>
        <w:t>)</w:t>
      </w:r>
      <w:r w:rsidRPr="00D67EDA">
        <w:rPr>
          <w:rFonts w:asciiTheme="minorBidi" w:hAnsiTheme="minorBidi" w:cstheme="minorBidi"/>
          <w:rtl/>
        </w:rPr>
        <w:t xml:space="preserve"> انظر: المادة (47) من قانون البينات الأردني رقم (30) لسنة 1952 وتعديلاته</w:t>
      </w:r>
      <w:r w:rsidRPr="00D67EDA">
        <w:rPr>
          <w:rFonts w:asciiTheme="minorBidi" w:hAnsiTheme="minorBidi" w:cstheme="minorBidi"/>
        </w:rPr>
        <w:t>.</w:t>
      </w:r>
    </w:p>
  </w:footnote>
  <w:footnote w:id="5">
    <w:p w14:paraId="03D25EB9" w14:textId="7D790783" w:rsidR="004D64B0" w:rsidRPr="00D67EDA" w:rsidRDefault="004D64B0" w:rsidP="00D67EDA">
      <w:pPr>
        <w:pStyle w:val="FootnoteText"/>
        <w:jc w:val="lowKashida"/>
        <w:rPr>
          <w:rFonts w:asciiTheme="minorBidi" w:hAnsiTheme="minorBidi" w:cstheme="minorBidi"/>
        </w:rPr>
      </w:pPr>
      <w:r>
        <w:rPr>
          <w:rStyle w:val="FootnoteReference"/>
          <w:rFonts w:asciiTheme="minorBidi" w:hAnsiTheme="minorBidi" w:cstheme="minorBidi"/>
          <w:rtl/>
        </w:rPr>
        <w:t>(</w:t>
      </w:r>
      <w:r w:rsidRPr="00D67EDA">
        <w:rPr>
          <w:rStyle w:val="FootnoteReference"/>
          <w:rFonts w:asciiTheme="minorBidi" w:hAnsiTheme="minorBidi" w:cstheme="minorBidi"/>
          <w:rtl/>
        </w:rPr>
        <w:footnoteRef/>
      </w:r>
      <w:r>
        <w:rPr>
          <w:rStyle w:val="FootnoteReference"/>
          <w:rFonts w:asciiTheme="minorBidi" w:hAnsiTheme="minorBidi" w:cstheme="minorBidi"/>
          <w:rtl/>
        </w:rPr>
        <w:t>)</w:t>
      </w:r>
      <w:r w:rsidRPr="00D67EDA">
        <w:rPr>
          <w:rFonts w:asciiTheme="minorBidi" w:hAnsiTheme="minorBidi" w:cstheme="minorBidi"/>
          <w:rtl/>
        </w:rPr>
        <w:t xml:space="preserve"> للمزيد حول أثر هذا القيد على قيمة الدليل، راجع: العواملة، حازم، </w:t>
      </w:r>
      <w:r w:rsidRPr="00D67EDA">
        <w:rPr>
          <w:rFonts w:asciiTheme="minorBidi" w:hAnsiTheme="minorBidi" w:cstheme="minorBidi"/>
          <w:i/>
          <w:iCs/>
          <w:rtl/>
        </w:rPr>
        <w:t>السلطة التقديرية للقاضي في تقدير البينة الإلكترونية</w:t>
      </w:r>
      <w:r w:rsidRPr="00D67EDA">
        <w:rPr>
          <w:rFonts w:asciiTheme="minorBidi" w:hAnsiTheme="minorBidi" w:cstheme="minorBidi"/>
          <w:rtl/>
        </w:rPr>
        <w:t>، دار وائل للنشر، عمان، 2019،ص45</w:t>
      </w:r>
      <w:r w:rsidRPr="00D67EDA">
        <w:rPr>
          <w:rFonts w:asciiTheme="minorBidi" w:hAnsiTheme="minorBidi" w:cstheme="minorBidi"/>
        </w:rPr>
        <w:t>.</w:t>
      </w:r>
    </w:p>
  </w:footnote>
  <w:footnote w:id="6">
    <w:p w14:paraId="25DE3A4F" w14:textId="15B475A7" w:rsidR="004D64B0" w:rsidRPr="00D67EDA" w:rsidRDefault="004D64B0" w:rsidP="00D67EDA">
      <w:pPr>
        <w:pStyle w:val="FootnoteText"/>
        <w:jc w:val="lowKashida"/>
        <w:rPr>
          <w:rFonts w:asciiTheme="minorBidi" w:hAnsiTheme="minorBidi" w:cstheme="minorBidi"/>
        </w:rPr>
      </w:pPr>
      <w:r>
        <w:rPr>
          <w:rStyle w:val="FootnoteReference"/>
          <w:rFonts w:asciiTheme="minorBidi" w:hAnsiTheme="minorBidi" w:cstheme="minorBidi"/>
          <w:rtl/>
        </w:rPr>
        <w:t>(</w:t>
      </w:r>
      <w:r w:rsidRPr="00D67EDA">
        <w:rPr>
          <w:rStyle w:val="FootnoteReference"/>
          <w:rFonts w:asciiTheme="minorBidi" w:hAnsiTheme="minorBidi" w:cstheme="minorBidi"/>
          <w:rtl/>
        </w:rPr>
        <w:footnoteRef/>
      </w:r>
      <w:r>
        <w:rPr>
          <w:rStyle w:val="FootnoteReference"/>
          <w:rFonts w:asciiTheme="minorBidi" w:hAnsiTheme="minorBidi" w:cstheme="minorBidi"/>
          <w:rtl/>
        </w:rPr>
        <w:t>)</w:t>
      </w:r>
      <w:r w:rsidRPr="00D67EDA">
        <w:rPr>
          <w:rFonts w:asciiTheme="minorBidi" w:hAnsiTheme="minorBidi" w:cstheme="minorBidi"/>
          <w:rtl/>
        </w:rPr>
        <w:t xml:space="preserve"> يُنظر في تحليل هذا التنازع التشريعي وأثره على الأمن القضائي: بني يونس، محمد، "حجية الدليل الإلكتروني في القضاء المدني الأردني: دراسة مقارنة</w:t>
      </w:r>
      <w:r w:rsidRPr="00D67EDA">
        <w:rPr>
          <w:rFonts w:asciiTheme="minorBidi" w:hAnsiTheme="minorBidi" w:cstheme="minorBidi"/>
        </w:rPr>
        <w:t>"</w:t>
      </w:r>
      <w:r w:rsidRPr="00D67EDA">
        <w:rPr>
          <w:rFonts w:asciiTheme="minorBidi" w:hAnsiTheme="minorBidi" w:cstheme="minorBidi"/>
          <w:rtl/>
        </w:rPr>
        <w:t xml:space="preserve">، </w:t>
      </w:r>
      <w:r w:rsidRPr="00D67EDA">
        <w:rPr>
          <w:rFonts w:asciiTheme="minorBidi" w:hAnsiTheme="minorBidi" w:cstheme="minorBidi"/>
          <w:i/>
          <w:iCs/>
          <w:rtl/>
        </w:rPr>
        <w:t>مجلة الحقوق</w:t>
      </w:r>
      <w:r w:rsidRPr="00D67EDA">
        <w:rPr>
          <w:rFonts w:asciiTheme="minorBidi" w:hAnsiTheme="minorBidi" w:cstheme="minorBidi"/>
          <w:rtl/>
        </w:rPr>
        <w:t>، جامعة مؤتة، 2021، ص 112</w:t>
      </w:r>
      <w:r w:rsidRPr="00D67EDA">
        <w:rPr>
          <w:rFonts w:asciiTheme="minorBidi" w:hAnsiTheme="minorBidi" w:cstheme="minorBidi"/>
        </w:rPr>
        <w:t>.</w:t>
      </w:r>
    </w:p>
  </w:footnote>
  <w:footnote w:id="7">
    <w:p w14:paraId="205EEC6A" w14:textId="565E5DFE" w:rsidR="004D64B0" w:rsidRPr="00D67EDA" w:rsidRDefault="004D64B0" w:rsidP="00D67EDA">
      <w:pPr>
        <w:pStyle w:val="FootnoteText"/>
        <w:jc w:val="lowKashida"/>
        <w:rPr>
          <w:rFonts w:asciiTheme="minorBidi" w:hAnsiTheme="minorBidi" w:cstheme="minorBidi"/>
        </w:rPr>
      </w:pPr>
      <w:r>
        <w:rPr>
          <w:rStyle w:val="FootnoteReference"/>
          <w:rFonts w:asciiTheme="minorBidi" w:hAnsiTheme="minorBidi" w:cstheme="minorBidi"/>
          <w:rtl/>
        </w:rPr>
        <w:t>(</w:t>
      </w:r>
      <w:r w:rsidRPr="00D67EDA">
        <w:rPr>
          <w:rStyle w:val="FootnoteReference"/>
          <w:rFonts w:asciiTheme="minorBidi" w:hAnsiTheme="minorBidi" w:cstheme="minorBidi"/>
          <w:rtl/>
        </w:rPr>
        <w:footnoteRef/>
      </w:r>
      <w:r>
        <w:rPr>
          <w:rStyle w:val="FootnoteReference"/>
          <w:rFonts w:asciiTheme="minorBidi" w:hAnsiTheme="minorBidi" w:cstheme="minorBidi"/>
          <w:rtl/>
        </w:rPr>
        <w:t>)</w:t>
      </w:r>
      <w:r w:rsidRPr="00D67EDA">
        <w:rPr>
          <w:rFonts w:asciiTheme="minorBidi" w:hAnsiTheme="minorBidi" w:cstheme="minorBidi"/>
          <w:rtl/>
        </w:rPr>
        <w:t xml:space="preserve"> انظر في هذا السياق: قرار محكمة التمييز الأردنية (حقوق) رقم 1234/2023، منشورات المجلة القضائية الأردنية، ص 89</w:t>
      </w:r>
      <w:r w:rsidRPr="00D67EDA">
        <w:rPr>
          <w:rFonts w:asciiTheme="minorBidi" w:hAnsiTheme="minorBidi" w:cstheme="minorBidi"/>
        </w:rPr>
        <w:t>.</w:t>
      </w:r>
    </w:p>
  </w:footnote>
  <w:footnote w:id="8">
    <w:p w14:paraId="284649E7" w14:textId="09DDD4D3" w:rsidR="004D64B0" w:rsidRPr="00D67EDA" w:rsidRDefault="004D64B0" w:rsidP="00D67EDA">
      <w:pPr>
        <w:pStyle w:val="FootnoteText"/>
        <w:jc w:val="lowKashida"/>
        <w:rPr>
          <w:rFonts w:asciiTheme="minorBidi" w:hAnsiTheme="minorBidi" w:cstheme="minorBidi"/>
        </w:rPr>
      </w:pPr>
      <w:r>
        <w:rPr>
          <w:rStyle w:val="FootnoteReference"/>
          <w:rFonts w:asciiTheme="minorBidi" w:hAnsiTheme="minorBidi" w:cstheme="minorBidi"/>
          <w:rtl/>
        </w:rPr>
        <w:t>(</w:t>
      </w:r>
      <w:r w:rsidRPr="00D67EDA">
        <w:rPr>
          <w:rStyle w:val="FootnoteReference"/>
          <w:rFonts w:asciiTheme="minorBidi" w:hAnsiTheme="minorBidi" w:cstheme="minorBidi"/>
          <w:rtl/>
        </w:rPr>
        <w:footnoteRef/>
      </w:r>
      <w:r>
        <w:rPr>
          <w:rStyle w:val="FootnoteReference"/>
          <w:rFonts w:asciiTheme="minorBidi" w:hAnsiTheme="minorBidi" w:cstheme="minorBidi"/>
          <w:rtl/>
        </w:rPr>
        <w:t>)</w:t>
      </w:r>
      <w:r w:rsidRPr="00D67EDA">
        <w:rPr>
          <w:rFonts w:asciiTheme="minorBidi" w:hAnsiTheme="minorBidi" w:cstheme="minorBidi"/>
          <w:rtl/>
        </w:rPr>
        <w:t xml:space="preserve"> انظر: قرار محكمة التمييز الأردنية بصفتها الحقوقية رقم (2458/2022)، منشورات المجلة القضائية، ص 142</w:t>
      </w:r>
      <w:r w:rsidRPr="00D67EDA">
        <w:rPr>
          <w:rFonts w:asciiTheme="minorBidi" w:hAnsiTheme="minorBidi" w:cstheme="minorBidi"/>
        </w:rPr>
        <w:t>.</w:t>
      </w:r>
    </w:p>
  </w:footnote>
  <w:footnote w:id="9">
    <w:p w14:paraId="4D968FC7" w14:textId="5B00F2DA" w:rsidR="004D64B0" w:rsidRDefault="004D64B0" w:rsidP="00D67EDA">
      <w:pPr>
        <w:pStyle w:val="FootnoteText"/>
        <w:jc w:val="lowKashida"/>
        <w:rPr>
          <w:rFonts w:asciiTheme="minorBidi" w:hAnsiTheme="minorBidi" w:cstheme="minorBidi"/>
          <w:rtl/>
        </w:rPr>
      </w:pPr>
      <w:r>
        <w:rPr>
          <w:rStyle w:val="FootnoteReference"/>
          <w:rFonts w:asciiTheme="minorBidi" w:hAnsiTheme="minorBidi" w:cstheme="minorBidi"/>
          <w:rtl/>
        </w:rPr>
        <w:t>(</w:t>
      </w:r>
      <w:r w:rsidRPr="00D67EDA">
        <w:rPr>
          <w:rStyle w:val="FootnoteReference"/>
          <w:rFonts w:asciiTheme="minorBidi" w:hAnsiTheme="minorBidi" w:cstheme="minorBidi"/>
          <w:rtl/>
        </w:rPr>
        <w:footnoteRef/>
      </w:r>
      <w:r>
        <w:rPr>
          <w:rStyle w:val="FootnoteReference"/>
          <w:rFonts w:asciiTheme="minorBidi" w:hAnsiTheme="minorBidi" w:cstheme="minorBidi"/>
          <w:rtl/>
        </w:rPr>
        <w:t>)</w:t>
      </w:r>
      <w:r w:rsidRPr="00D67EDA">
        <w:rPr>
          <w:rFonts w:asciiTheme="minorBidi" w:hAnsiTheme="minorBidi" w:cstheme="minorBidi"/>
          <w:rtl/>
        </w:rPr>
        <w:t xml:space="preserve"> انظر حول مخاطر الذكاء الاصطناعي في الإثبات</w:t>
      </w:r>
    </w:p>
    <w:p w14:paraId="2416A116" w14:textId="77777777" w:rsidR="004D64B0" w:rsidRPr="00D67EDA" w:rsidRDefault="004D64B0" w:rsidP="00D67EDA">
      <w:pPr>
        <w:pStyle w:val="FootnoteText"/>
        <w:bidi w:val="0"/>
        <w:jc w:val="lowKashida"/>
        <w:rPr>
          <w:rFonts w:asciiTheme="minorBidi" w:hAnsiTheme="minorBidi" w:cstheme="minorBidi"/>
          <w:lang w:bidi="ar-JO"/>
        </w:rPr>
      </w:pPr>
      <w:r w:rsidRPr="00D67EDA">
        <w:rPr>
          <w:rFonts w:asciiTheme="minorBidi" w:hAnsiTheme="minorBidi" w:cstheme="minorBidi"/>
        </w:rPr>
        <w:t xml:space="preserve">Hassan, R. (2024). </w:t>
      </w:r>
      <w:r w:rsidRPr="00D67EDA">
        <w:rPr>
          <w:rFonts w:asciiTheme="minorBidi" w:hAnsiTheme="minorBidi" w:cstheme="minorBidi"/>
          <w:b/>
          <w:bCs/>
        </w:rPr>
        <w:t>AI-Generated d Evidence and the Future of Judicial Proof</w:t>
      </w:r>
      <w:r w:rsidRPr="00D67EDA">
        <w:rPr>
          <w:rFonts w:asciiTheme="minorBidi" w:hAnsiTheme="minorBidi" w:cstheme="minorBidi"/>
        </w:rPr>
        <w:t>. International Journal of Legal Technology.</w:t>
      </w:r>
    </w:p>
  </w:footnote>
  <w:footnote w:id="10">
    <w:p w14:paraId="0AAD08E5" w14:textId="10158576" w:rsidR="004D64B0" w:rsidRDefault="004D64B0" w:rsidP="00D67EDA">
      <w:pPr>
        <w:pStyle w:val="FootnoteText"/>
        <w:jc w:val="lowKashida"/>
      </w:pPr>
      <w:r>
        <w:rPr>
          <w:rStyle w:val="FootnoteReference"/>
          <w:rtl/>
        </w:rPr>
        <w:t>(</w:t>
      </w:r>
      <w:r>
        <w:rPr>
          <w:rStyle w:val="FootnoteReference"/>
          <w:rtl/>
        </w:rPr>
        <w:footnoteRef/>
      </w:r>
      <w:r>
        <w:rPr>
          <w:rStyle w:val="FootnoteReference"/>
          <w:rtl/>
        </w:rPr>
        <w:t>)</w:t>
      </w:r>
      <w:r>
        <w:rPr>
          <w:rtl/>
        </w:rPr>
        <w:t xml:space="preserve"> </w:t>
      </w:r>
      <w:r w:rsidRPr="00D67EDA">
        <w:rPr>
          <w:rFonts w:asciiTheme="minorBidi" w:hAnsiTheme="minorBidi" w:cstheme="minorBidi"/>
          <w:rtl/>
        </w:rPr>
        <w:t>العواملة، حازم</w:t>
      </w:r>
      <w:r>
        <w:rPr>
          <w:rFonts w:asciiTheme="minorBidi" w:hAnsiTheme="minorBidi" w:cstheme="minorBidi" w:hint="cs"/>
          <w:rtl/>
        </w:rPr>
        <w:t xml:space="preserve">، (2019) </w:t>
      </w:r>
      <w:r w:rsidRPr="00D67EDA">
        <w:rPr>
          <w:rFonts w:asciiTheme="minorBidi" w:hAnsiTheme="minorBidi" w:cstheme="minorBidi"/>
          <w:b/>
          <w:bCs/>
          <w:rtl/>
        </w:rPr>
        <w:t>السلطة التقديرية للقاضي في تقدير البينة الإلكترونية</w:t>
      </w:r>
      <w:r w:rsidRPr="00D67EDA">
        <w:rPr>
          <w:rFonts w:asciiTheme="minorBidi" w:hAnsiTheme="minorBidi" w:cstheme="minorBidi"/>
        </w:rPr>
        <w:t xml:space="preserve">. </w:t>
      </w:r>
      <w:r w:rsidRPr="00D67EDA">
        <w:rPr>
          <w:rFonts w:asciiTheme="minorBidi" w:hAnsiTheme="minorBidi" w:cstheme="minorBidi"/>
          <w:rtl/>
        </w:rPr>
        <w:t>دار وائل للنشر، ص. 88</w:t>
      </w:r>
      <w:r w:rsidRPr="00D67EDA">
        <w:rPr>
          <w:rFonts w:asciiTheme="minorBidi" w:hAnsiTheme="minorBidi" w:cstheme="minorBidi"/>
        </w:rPr>
        <w:t>.</w:t>
      </w:r>
    </w:p>
  </w:footnote>
  <w:footnote w:id="11">
    <w:p w14:paraId="0D07284E" w14:textId="7702C88C" w:rsidR="004D64B0" w:rsidRDefault="004D64B0" w:rsidP="00D67EDA">
      <w:pPr>
        <w:pStyle w:val="FootnoteText"/>
        <w:jc w:val="lowKashida"/>
      </w:pPr>
      <w:r>
        <w:rPr>
          <w:rStyle w:val="FootnoteReference"/>
          <w:rtl/>
        </w:rPr>
        <w:t>(</w:t>
      </w:r>
      <w:r>
        <w:rPr>
          <w:rStyle w:val="FootnoteReference"/>
          <w:rtl/>
        </w:rPr>
        <w:footnoteRef/>
      </w:r>
      <w:r>
        <w:rPr>
          <w:rStyle w:val="FootnoteReference"/>
          <w:rtl/>
        </w:rPr>
        <w:t>)</w:t>
      </w:r>
      <w:r>
        <w:rPr>
          <w:rtl/>
        </w:rPr>
        <w:t xml:space="preserve"> </w:t>
      </w:r>
      <w:r w:rsidRPr="00D67EDA">
        <w:rPr>
          <w:rFonts w:asciiTheme="minorBidi" w:hAnsiTheme="minorBidi" w:cstheme="minorBidi"/>
          <w:rtl/>
        </w:rPr>
        <w:t>القضاة، مفلح</w:t>
      </w:r>
      <w:r>
        <w:rPr>
          <w:rFonts w:asciiTheme="minorBidi" w:hAnsiTheme="minorBidi" w:cstheme="minorBidi" w:hint="cs"/>
          <w:rtl/>
        </w:rPr>
        <w:t xml:space="preserve">، (2018) </w:t>
      </w:r>
      <w:r w:rsidRPr="00D67EDA">
        <w:rPr>
          <w:rFonts w:asciiTheme="minorBidi" w:hAnsiTheme="minorBidi" w:cstheme="minorBidi"/>
          <w:b/>
          <w:bCs/>
          <w:rtl/>
        </w:rPr>
        <w:t>أصول المحاكمات المدنية والتنظيم القضائي في الأردن</w:t>
      </w:r>
      <w:r w:rsidRPr="00D67EDA">
        <w:rPr>
          <w:rFonts w:asciiTheme="minorBidi" w:hAnsiTheme="minorBidi" w:cstheme="minorBidi"/>
        </w:rPr>
        <w:t xml:space="preserve">. </w:t>
      </w:r>
      <w:r w:rsidRPr="00D67EDA">
        <w:rPr>
          <w:rFonts w:asciiTheme="minorBidi" w:hAnsiTheme="minorBidi" w:cstheme="minorBidi"/>
          <w:rtl/>
        </w:rPr>
        <w:t>دار الثقافة للنشر والتوزيع.</w:t>
      </w:r>
    </w:p>
  </w:footnote>
  <w:footnote w:id="12">
    <w:p w14:paraId="0858FBE0" w14:textId="78EEBBE3" w:rsidR="004D64B0" w:rsidRPr="00D67EDA" w:rsidRDefault="004D64B0" w:rsidP="00D67EDA">
      <w:pPr>
        <w:pStyle w:val="FootnoteText"/>
        <w:bidi w:val="0"/>
        <w:jc w:val="lowKashida"/>
        <w:rPr>
          <w:rFonts w:asciiTheme="minorBidi" w:hAnsiTheme="minorBidi" w:cstheme="minorBidi"/>
          <w:lang w:bidi="ar-JO"/>
        </w:rPr>
      </w:pPr>
      <w:r>
        <w:rPr>
          <w:rStyle w:val="FootnoteReference"/>
          <w:rFonts w:asciiTheme="minorBidi" w:hAnsiTheme="minorBidi" w:cstheme="minorBidi"/>
        </w:rPr>
        <w:t>(</w:t>
      </w:r>
      <w:r w:rsidRPr="00D67EDA">
        <w:rPr>
          <w:rStyle w:val="FootnoteReference"/>
          <w:rFonts w:asciiTheme="minorBidi" w:hAnsiTheme="minorBidi" w:cstheme="minorBidi"/>
        </w:rPr>
        <w:footnoteRef/>
      </w:r>
      <w:r>
        <w:rPr>
          <w:rStyle w:val="FootnoteReference"/>
          <w:rFonts w:asciiTheme="minorBidi" w:hAnsiTheme="minorBidi" w:cstheme="minorBidi"/>
        </w:rPr>
        <w:t>)</w:t>
      </w:r>
      <w:r w:rsidRPr="00D67EDA">
        <w:rPr>
          <w:rFonts w:asciiTheme="minorBidi" w:hAnsiTheme="minorBidi" w:cstheme="minorBidi"/>
          <w:rtl/>
        </w:rPr>
        <w:t xml:space="preserve"> </w:t>
      </w:r>
      <w:r w:rsidRPr="00D67EDA">
        <w:rPr>
          <w:rFonts w:asciiTheme="minorBidi" w:hAnsiTheme="minorBidi" w:cstheme="minorBidi"/>
        </w:rPr>
        <w:t xml:space="preserve"> Mason, S., &amp; Seng, D. (Eds.). (2023). </w:t>
      </w:r>
      <w:r w:rsidRPr="00D67EDA">
        <w:rPr>
          <w:rFonts w:asciiTheme="minorBidi" w:hAnsiTheme="minorBidi" w:cstheme="minorBidi"/>
          <w:b/>
          <w:bCs/>
        </w:rPr>
        <w:t>Electronic Evidence and Electronic Signatures</w:t>
      </w:r>
      <w:r w:rsidRPr="00D67EDA">
        <w:rPr>
          <w:rFonts w:asciiTheme="minorBidi" w:hAnsiTheme="minorBidi" w:cstheme="minorBidi"/>
        </w:rPr>
        <w:t>. University of London Press, p. 45.</w:t>
      </w:r>
    </w:p>
  </w:footnote>
  <w:footnote w:id="13">
    <w:p w14:paraId="3F068B12" w14:textId="43941818" w:rsidR="004D64B0" w:rsidRPr="00D67EDA" w:rsidRDefault="004D64B0" w:rsidP="00D67EDA">
      <w:pPr>
        <w:pStyle w:val="FootnoteText"/>
        <w:jc w:val="lowKashida"/>
        <w:rPr>
          <w:rFonts w:asciiTheme="minorBidi" w:hAnsiTheme="minorBidi" w:cstheme="minorBidi"/>
          <w:lang w:bidi="ar-JO"/>
        </w:rPr>
      </w:pPr>
      <w:r>
        <w:rPr>
          <w:rStyle w:val="FootnoteReference"/>
          <w:rFonts w:asciiTheme="minorBidi" w:hAnsiTheme="minorBidi" w:cstheme="minorBidi"/>
          <w:rtl/>
        </w:rPr>
        <w:t>(</w:t>
      </w:r>
      <w:r w:rsidRPr="00D67EDA">
        <w:rPr>
          <w:rStyle w:val="FootnoteReference"/>
          <w:rFonts w:asciiTheme="minorBidi" w:hAnsiTheme="minorBidi" w:cstheme="minorBidi"/>
          <w:rtl/>
        </w:rPr>
        <w:footnoteRef/>
      </w:r>
      <w:r>
        <w:rPr>
          <w:rStyle w:val="FootnoteReference"/>
          <w:rFonts w:asciiTheme="minorBidi" w:hAnsiTheme="minorBidi" w:cstheme="minorBidi"/>
          <w:rtl/>
        </w:rPr>
        <w:t>)</w:t>
      </w:r>
      <w:r w:rsidRPr="00D67EDA">
        <w:rPr>
          <w:rFonts w:asciiTheme="minorBidi" w:hAnsiTheme="minorBidi" w:cstheme="minorBidi"/>
          <w:rtl/>
        </w:rPr>
        <w:t xml:space="preserve"> بني يونس، م</w:t>
      </w:r>
      <w:r>
        <w:rPr>
          <w:rFonts w:asciiTheme="minorBidi" w:hAnsiTheme="minorBidi" w:cstheme="minorBidi" w:hint="cs"/>
          <w:rtl/>
          <w:lang w:val="en-US" w:bidi="ar-IQ"/>
        </w:rPr>
        <w:t>، (2021).</w:t>
      </w:r>
      <w:r w:rsidRPr="00D67EDA">
        <w:rPr>
          <w:rFonts w:asciiTheme="minorBidi" w:hAnsiTheme="minorBidi" w:cstheme="minorBidi"/>
        </w:rPr>
        <w:t xml:space="preserve"> </w:t>
      </w:r>
      <w:r w:rsidRPr="00D67EDA">
        <w:rPr>
          <w:rFonts w:asciiTheme="minorBidi" w:hAnsiTheme="minorBidi" w:cstheme="minorBidi"/>
          <w:b/>
          <w:bCs/>
          <w:rtl/>
        </w:rPr>
        <w:t>حجية الدليل الإلكتروني في القضاء المدني الأردني</w:t>
      </w:r>
      <w:r w:rsidRPr="00D67EDA">
        <w:rPr>
          <w:rFonts w:asciiTheme="minorBidi" w:hAnsiTheme="minorBidi" w:cstheme="minorBidi"/>
        </w:rPr>
        <w:t xml:space="preserve">. </w:t>
      </w:r>
      <w:r w:rsidRPr="00D67EDA">
        <w:rPr>
          <w:rFonts w:asciiTheme="minorBidi" w:hAnsiTheme="minorBidi" w:cstheme="minorBidi"/>
          <w:rtl/>
        </w:rPr>
        <w:t>مجلة الحقوق، جامعة مؤتة</w:t>
      </w:r>
      <w:r w:rsidRPr="00D67EDA">
        <w:rPr>
          <w:rFonts w:asciiTheme="minorBidi" w:hAnsiTheme="minorBidi" w:cstheme="minorBidi"/>
        </w:rPr>
        <w:t>.</w:t>
      </w:r>
    </w:p>
  </w:footnote>
  <w:footnote w:id="14">
    <w:p w14:paraId="05DB7AF2" w14:textId="0F287EC2" w:rsidR="004D64B0" w:rsidRPr="00D67EDA" w:rsidRDefault="004D64B0" w:rsidP="00D67EDA">
      <w:pPr>
        <w:pStyle w:val="FootnoteText"/>
        <w:jc w:val="lowKashida"/>
        <w:rPr>
          <w:rFonts w:asciiTheme="minorBidi" w:hAnsiTheme="minorBidi" w:cstheme="minorBidi"/>
          <w:lang w:bidi="ar-JO"/>
        </w:rPr>
      </w:pPr>
      <w:r>
        <w:rPr>
          <w:rStyle w:val="FootnoteReference"/>
          <w:rFonts w:asciiTheme="minorBidi" w:hAnsiTheme="minorBidi" w:cstheme="minorBidi"/>
          <w:rtl/>
        </w:rPr>
        <w:t>(</w:t>
      </w:r>
      <w:r w:rsidRPr="00D67EDA">
        <w:rPr>
          <w:rStyle w:val="FootnoteReference"/>
          <w:rFonts w:asciiTheme="minorBidi" w:hAnsiTheme="minorBidi" w:cstheme="minorBidi"/>
          <w:rtl/>
        </w:rPr>
        <w:footnoteRef/>
      </w:r>
      <w:r>
        <w:rPr>
          <w:rStyle w:val="FootnoteReference"/>
          <w:rFonts w:asciiTheme="minorBidi" w:hAnsiTheme="minorBidi" w:cstheme="minorBidi"/>
          <w:rtl/>
        </w:rPr>
        <w:t>)</w:t>
      </w:r>
      <w:r w:rsidRPr="00D67EDA">
        <w:rPr>
          <w:rFonts w:asciiTheme="minorBidi" w:hAnsiTheme="minorBidi" w:cstheme="minorBidi"/>
          <w:rtl/>
        </w:rPr>
        <w:t xml:space="preserve"> انظر المادة (13) من قانون المعاملات الإلكترونية الأردني رقم (15) لسنة 2015</w:t>
      </w:r>
      <w:r w:rsidRPr="00D67EDA">
        <w:rPr>
          <w:rFonts w:asciiTheme="minorBidi" w:hAnsiTheme="minorBidi" w:cstheme="minorBidi"/>
        </w:rPr>
        <w:t>.</w:t>
      </w:r>
    </w:p>
  </w:footnote>
  <w:footnote w:id="15">
    <w:p w14:paraId="70C6F2EB" w14:textId="2D114485" w:rsidR="004D64B0" w:rsidRPr="00D67EDA" w:rsidRDefault="004D64B0" w:rsidP="00D67EDA">
      <w:pPr>
        <w:pStyle w:val="NormalWeb"/>
        <w:spacing w:before="0" w:beforeAutospacing="0" w:after="0" w:afterAutospacing="0"/>
        <w:jc w:val="lowKashida"/>
        <w:rPr>
          <w:rFonts w:asciiTheme="minorBidi" w:hAnsiTheme="minorBidi" w:cstheme="minorBidi"/>
          <w:sz w:val="20"/>
          <w:szCs w:val="20"/>
        </w:rPr>
      </w:pPr>
      <w:r>
        <w:rPr>
          <w:rStyle w:val="FootnoteReference"/>
          <w:rFonts w:asciiTheme="minorBidi" w:hAnsiTheme="minorBidi" w:cstheme="minorBidi"/>
          <w:sz w:val="20"/>
          <w:szCs w:val="20"/>
        </w:rPr>
        <w:t>(</w:t>
      </w:r>
      <w:r w:rsidRPr="00D67EDA">
        <w:rPr>
          <w:rStyle w:val="FootnoteReference"/>
          <w:rFonts w:asciiTheme="minorBidi" w:hAnsiTheme="minorBidi" w:cstheme="minorBidi"/>
          <w:sz w:val="20"/>
          <w:szCs w:val="20"/>
        </w:rPr>
        <w:footnoteRef/>
      </w:r>
      <w:r>
        <w:rPr>
          <w:rStyle w:val="FootnoteReference"/>
          <w:rFonts w:asciiTheme="minorBidi" w:hAnsiTheme="minorBidi" w:cstheme="minorBidi"/>
          <w:sz w:val="20"/>
          <w:szCs w:val="20"/>
        </w:rPr>
        <w:t>)</w:t>
      </w:r>
      <w:r w:rsidRPr="00D67EDA">
        <w:rPr>
          <w:rFonts w:asciiTheme="minorBidi" w:hAnsiTheme="minorBidi" w:cstheme="minorBidi"/>
          <w:sz w:val="20"/>
          <w:szCs w:val="20"/>
          <w:rtl/>
        </w:rPr>
        <w:t xml:space="preserve"> </w:t>
      </w:r>
      <w:r w:rsidRPr="00D67EDA">
        <w:rPr>
          <w:rFonts w:asciiTheme="minorBidi" w:hAnsiTheme="minorBidi" w:cstheme="minorBidi"/>
          <w:b/>
          <w:bCs/>
          <w:sz w:val="20"/>
          <w:szCs w:val="20"/>
        </w:rPr>
        <w:t>Reed, C. (2021).</w:t>
      </w:r>
      <w:r w:rsidRPr="00D67EDA">
        <w:rPr>
          <w:rFonts w:asciiTheme="minorBidi" w:hAnsiTheme="minorBidi" w:cstheme="minorBidi"/>
          <w:sz w:val="20"/>
          <w:szCs w:val="20"/>
        </w:rPr>
        <w:t xml:space="preserve"> Digital Evidence: The Problem of Integrity. </w:t>
      </w:r>
      <w:r w:rsidRPr="00D67EDA">
        <w:rPr>
          <w:rFonts w:asciiTheme="minorBidi" w:hAnsiTheme="minorBidi" w:cstheme="minorBidi"/>
          <w:i/>
          <w:iCs/>
          <w:sz w:val="20"/>
          <w:szCs w:val="20"/>
        </w:rPr>
        <w:t>Journal of Law and Technology</w:t>
      </w:r>
      <w:r w:rsidRPr="00D67EDA">
        <w:rPr>
          <w:rFonts w:asciiTheme="minorBidi" w:hAnsiTheme="minorBidi" w:cstheme="minorBidi"/>
          <w:sz w:val="20"/>
          <w:szCs w:val="20"/>
        </w:rPr>
        <w:t>, 15(2), 45-68.</w:t>
      </w:r>
    </w:p>
    <w:p w14:paraId="1B621237" w14:textId="77777777" w:rsidR="004D64B0" w:rsidRPr="00D67EDA" w:rsidRDefault="004D64B0" w:rsidP="00D67EDA">
      <w:pPr>
        <w:pStyle w:val="FootnoteText"/>
        <w:jc w:val="lowKashida"/>
        <w:rPr>
          <w:rFonts w:asciiTheme="minorBidi" w:hAnsiTheme="minorBidi" w:cstheme="minorBidi"/>
          <w:lang w:bidi="ar-JO"/>
        </w:rPr>
      </w:pPr>
    </w:p>
  </w:footnote>
  <w:footnote w:id="16">
    <w:p w14:paraId="1078326A" w14:textId="648885CA" w:rsidR="004D64B0" w:rsidRPr="00D67EDA" w:rsidRDefault="004D64B0" w:rsidP="00D67EDA">
      <w:pPr>
        <w:pStyle w:val="NormalWeb"/>
        <w:spacing w:before="0" w:beforeAutospacing="0" w:after="0" w:afterAutospacing="0"/>
        <w:jc w:val="lowKashida"/>
        <w:rPr>
          <w:rFonts w:asciiTheme="minorBidi" w:hAnsiTheme="minorBidi" w:cstheme="minorBidi"/>
          <w:sz w:val="20"/>
          <w:szCs w:val="20"/>
        </w:rPr>
      </w:pPr>
      <w:r>
        <w:rPr>
          <w:rStyle w:val="FootnoteReference"/>
          <w:rFonts w:asciiTheme="minorBidi" w:hAnsiTheme="minorBidi" w:cstheme="minorBidi"/>
          <w:sz w:val="20"/>
          <w:szCs w:val="20"/>
        </w:rPr>
        <w:t>(</w:t>
      </w:r>
      <w:r w:rsidRPr="00D67EDA">
        <w:rPr>
          <w:rStyle w:val="FootnoteReference"/>
          <w:rFonts w:asciiTheme="minorBidi" w:hAnsiTheme="minorBidi" w:cstheme="minorBidi"/>
          <w:sz w:val="20"/>
          <w:szCs w:val="20"/>
        </w:rPr>
        <w:footnoteRef/>
      </w:r>
      <w:r>
        <w:rPr>
          <w:rStyle w:val="FootnoteReference"/>
          <w:rFonts w:asciiTheme="minorBidi" w:hAnsiTheme="minorBidi" w:cstheme="minorBidi"/>
          <w:sz w:val="20"/>
          <w:szCs w:val="20"/>
        </w:rPr>
        <w:t>)</w:t>
      </w:r>
      <w:r w:rsidRPr="00D67EDA">
        <w:rPr>
          <w:rFonts w:asciiTheme="minorBidi" w:hAnsiTheme="minorBidi" w:cstheme="minorBidi"/>
          <w:sz w:val="20"/>
          <w:szCs w:val="20"/>
          <w:rtl/>
        </w:rPr>
        <w:t xml:space="preserve"> </w:t>
      </w:r>
      <w:r w:rsidRPr="00D67EDA">
        <w:rPr>
          <w:rFonts w:asciiTheme="minorBidi" w:hAnsiTheme="minorBidi" w:cstheme="minorBidi"/>
          <w:sz w:val="20"/>
          <w:szCs w:val="20"/>
        </w:rPr>
        <w:t xml:space="preserve">UNCITRAL. (2022). </w:t>
      </w:r>
      <w:r w:rsidRPr="00D67EDA">
        <w:rPr>
          <w:rFonts w:asciiTheme="minorBidi" w:hAnsiTheme="minorBidi" w:cstheme="minorBidi"/>
          <w:b/>
          <w:bCs/>
          <w:sz w:val="20"/>
          <w:szCs w:val="20"/>
        </w:rPr>
        <w:t>Model Law on Electronic Commerce</w:t>
      </w:r>
      <w:r w:rsidRPr="00D67EDA">
        <w:rPr>
          <w:rFonts w:asciiTheme="minorBidi" w:hAnsiTheme="minorBidi" w:cstheme="minorBidi"/>
          <w:sz w:val="20"/>
          <w:szCs w:val="20"/>
        </w:rPr>
        <w:t>, relating to automated transactions.</w:t>
      </w:r>
    </w:p>
  </w:footnote>
  <w:footnote w:id="17">
    <w:p w14:paraId="6972F63F" w14:textId="69601A1E" w:rsidR="004D64B0" w:rsidRDefault="004D64B0">
      <w:pPr>
        <w:pStyle w:val="FootnoteText"/>
      </w:pPr>
      <w:r>
        <w:rPr>
          <w:rStyle w:val="FootnoteReference"/>
          <w:rtl/>
        </w:rPr>
        <w:t>(</w:t>
      </w:r>
      <w:r>
        <w:rPr>
          <w:rStyle w:val="FootnoteReference"/>
          <w:rtl/>
        </w:rPr>
        <w:footnoteRef/>
      </w:r>
      <w:r>
        <w:rPr>
          <w:rStyle w:val="FootnoteReference"/>
          <w:rtl/>
        </w:rPr>
        <w:t>)</w:t>
      </w:r>
      <w:r>
        <w:rPr>
          <w:rtl/>
        </w:rPr>
        <w:t xml:space="preserve"> </w:t>
      </w:r>
      <w:r w:rsidRPr="00D67EDA">
        <w:rPr>
          <w:rFonts w:asciiTheme="minorBidi" w:hAnsiTheme="minorBidi" w:cstheme="minorBidi"/>
          <w:rtl/>
        </w:rPr>
        <w:t>انظر المادة (10) من قانون البينات الأردني، والمادة (15) من قانون المعاملات الإلكترونية رقم (15) لسنة 2015</w:t>
      </w:r>
      <w:r w:rsidRPr="00D67EDA">
        <w:rPr>
          <w:rFonts w:asciiTheme="minorBidi" w:hAnsiTheme="minorBidi" w:cstheme="minorBidi"/>
        </w:rPr>
        <w:t>.</w:t>
      </w:r>
    </w:p>
  </w:footnote>
  <w:footnote w:id="18">
    <w:p w14:paraId="3D98828C" w14:textId="3F952788" w:rsidR="004D64B0" w:rsidRDefault="004D64B0">
      <w:pPr>
        <w:pStyle w:val="FootnoteText"/>
      </w:pPr>
      <w:r>
        <w:rPr>
          <w:rStyle w:val="FootnoteReference"/>
          <w:rtl/>
        </w:rPr>
        <w:t>(</w:t>
      </w:r>
      <w:r>
        <w:rPr>
          <w:rStyle w:val="FootnoteReference"/>
          <w:rtl/>
        </w:rPr>
        <w:footnoteRef/>
      </w:r>
      <w:r>
        <w:rPr>
          <w:rStyle w:val="FootnoteReference"/>
          <w:rtl/>
        </w:rPr>
        <w:t>)</w:t>
      </w:r>
      <w:r>
        <w:rPr>
          <w:rtl/>
        </w:rPr>
        <w:t xml:space="preserve"> </w:t>
      </w:r>
      <w:r w:rsidRPr="00D67EDA">
        <w:rPr>
          <w:rFonts w:asciiTheme="minorBidi" w:hAnsiTheme="minorBidi" w:cstheme="minorBidi"/>
          <w:rtl/>
        </w:rPr>
        <w:t>منصور، محمد حسين</w:t>
      </w:r>
      <w:r>
        <w:rPr>
          <w:rFonts w:asciiTheme="minorBidi" w:hAnsiTheme="minorBidi" w:cstheme="minorBidi" w:hint="cs"/>
          <w:rtl/>
        </w:rPr>
        <w:t xml:space="preserve"> (2020)، </w:t>
      </w:r>
      <w:r w:rsidRPr="00D67EDA">
        <w:rPr>
          <w:rFonts w:asciiTheme="minorBidi" w:hAnsiTheme="minorBidi" w:cstheme="minorBidi"/>
          <w:b/>
          <w:bCs/>
          <w:rtl/>
        </w:rPr>
        <w:t>الإثبات الإلكتروني في المواد المدنية والتجارية</w:t>
      </w:r>
      <w:r w:rsidRPr="00D67EDA">
        <w:rPr>
          <w:rFonts w:asciiTheme="minorBidi" w:hAnsiTheme="minorBidi" w:cstheme="minorBidi"/>
        </w:rPr>
        <w:t xml:space="preserve">. </w:t>
      </w:r>
      <w:r w:rsidRPr="00D67EDA">
        <w:rPr>
          <w:rFonts w:asciiTheme="minorBidi" w:hAnsiTheme="minorBidi" w:cstheme="minorBidi"/>
          <w:rtl/>
        </w:rPr>
        <w:t>دار الجامعة الجديدة، ص. 142</w:t>
      </w:r>
      <w:r w:rsidRPr="00D67EDA">
        <w:rPr>
          <w:rFonts w:asciiTheme="minorBidi" w:hAnsiTheme="minorBidi" w:cstheme="minorBidi"/>
        </w:rPr>
        <w:t>.</w:t>
      </w:r>
    </w:p>
  </w:footnote>
  <w:footnote w:id="19">
    <w:p w14:paraId="1F932228" w14:textId="1F55E945" w:rsidR="004D64B0" w:rsidRDefault="004D64B0">
      <w:pPr>
        <w:pStyle w:val="FootnoteText"/>
      </w:pPr>
      <w:r>
        <w:rPr>
          <w:rStyle w:val="FootnoteReference"/>
          <w:rtl/>
        </w:rPr>
        <w:t>(</w:t>
      </w:r>
      <w:r>
        <w:rPr>
          <w:rStyle w:val="FootnoteReference"/>
          <w:rtl/>
        </w:rPr>
        <w:footnoteRef/>
      </w:r>
      <w:r>
        <w:rPr>
          <w:rStyle w:val="FootnoteReference"/>
          <w:rtl/>
        </w:rPr>
        <w:t>)</w:t>
      </w:r>
      <w:r>
        <w:rPr>
          <w:rtl/>
        </w:rPr>
        <w:t xml:space="preserve"> </w:t>
      </w:r>
      <w:r w:rsidRPr="00D67EDA">
        <w:rPr>
          <w:rFonts w:asciiTheme="minorBidi" w:hAnsiTheme="minorBidi" w:cstheme="minorBidi"/>
          <w:rtl/>
        </w:rPr>
        <w:t>القضاة، مفلح</w:t>
      </w:r>
      <w:r>
        <w:rPr>
          <w:rFonts w:asciiTheme="minorBidi" w:hAnsiTheme="minorBidi" w:cstheme="minorBidi" w:hint="cs"/>
          <w:rtl/>
        </w:rPr>
        <w:t xml:space="preserve"> (2018)، </w:t>
      </w:r>
      <w:r w:rsidRPr="00D67EDA">
        <w:rPr>
          <w:rFonts w:asciiTheme="minorBidi" w:hAnsiTheme="minorBidi" w:cstheme="minorBidi"/>
          <w:b/>
          <w:bCs/>
          <w:rtl/>
        </w:rPr>
        <w:t>أصول المحاكمات المدنية والتنظيم القضائي في الأردن</w:t>
      </w:r>
      <w:r w:rsidRPr="00D67EDA">
        <w:rPr>
          <w:rFonts w:asciiTheme="minorBidi" w:hAnsiTheme="minorBidi" w:cstheme="minorBidi"/>
        </w:rPr>
        <w:t xml:space="preserve">. </w:t>
      </w:r>
      <w:r w:rsidRPr="00D67EDA">
        <w:rPr>
          <w:rFonts w:asciiTheme="minorBidi" w:hAnsiTheme="minorBidi" w:cstheme="minorBidi"/>
          <w:rtl/>
        </w:rPr>
        <w:t>دار الثقافة للنشر والتوزيع</w:t>
      </w:r>
      <w:r w:rsidRPr="00D67EDA">
        <w:rPr>
          <w:rFonts w:asciiTheme="minorBidi" w:hAnsiTheme="minorBidi" w:cstheme="minorBidi"/>
        </w:rPr>
        <w:t>.</w:t>
      </w:r>
    </w:p>
  </w:footnote>
  <w:footnote w:id="20">
    <w:p w14:paraId="03B1FB82" w14:textId="65E55D0C" w:rsidR="004D64B0" w:rsidRDefault="004D64B0" w:rsidP="00D67EDA">
      <w:pPr>
        <w:pStyle w:val="FootnoteText"/>
        <w:bidi w:val="0"/>
        <w:rPr>
          <w:lang w:bidi="ar-IQ"/>
        </w:rPr>
      </w:pPr>
      <w:r>
        <w:rPr>
          <w:rStyle w:val="FootnoteReference"/>
        </w:rPr>
        <w:t>(</w:t>
      </w:r>
      <w:r>
        <w:rPr>
          <w:rStyle w:val="FootnoteReference"/>
        </w:rPr>
        <w:footnoteRef/>
      </w:r>
      <w:r>
        <w:rPr>
          <w:rStyle w:val="FootnoteReference"/>
        </w:rPr>
        <w:t>)</w:t>
      </w:r>
      <w:r>
        <w:rPr>
          <w:rtl/>
        </w:rPr>
        <w:t xml:space="preserve"> </w:t>
      </w:r>
      <w:r w:rsidRPr="00D67EDA">
        <w:rPr>
          <w:rFonts w:asciiTheme="minorBidi" w:hAnsiTheme="minorBidi" w:cstheme="minorBidi"/>
        </w:rPr>
        <w:t xml:space="preserve">Reed, C. (2021). </w:t>
      </w:r>
      <w:r w:rsidRPr="00D67EDA">
        <w:rPr>
          <w:rFonts w:asciiTheme="minorBidi" w:hAnsiTheme="minorBidi" w:cstheme="minorBidi"/>
          <w:b/>
          <w:bCs/>
        </w:rPr>
        <w:t>Digital Evidence: The Problem of Integrity</w:t>
      </w:r>
      <w:r w:rsidRPr="00D67EDA">
        <w:rPr>
          <w:rFonts w:asciiTheme="minorBidi" w:hAnsiTheme="minorBidi" w:cstheme="minorBidi"/>
        </w:rPr>
        <w:t>. Journal of Law and Technology.</w:t>
      </w:r>
    </w:p>
  </w:footnote>
  <w:footnote w:id="21">
    <w:p w14:paraId="20F17D09" w14:textId="0D49A5CC" w:rsidR="004D64B0" w:rsidRDefault="004D64B0">
      <w:pPr>
        <w:pStyle w:val="FootnoteText"/>
      </w:pPr>
      <w:r>
        <w:rPr>
          <w:rStyle w:val="FootnoteReference"/>
          <w:rtl/>
        </w:rPr>
        <w:t>(</w:t>
      </w:r>
      <w:r>
        <w:rPr>
          <w:rStyle w:val="FootnoteReference"/>
          <w:rtl/>
        </w:rPr>
        <w:footnoteRef/>
      </w:r>
      <w:r>
        <w:rPr>
          <w:rStyle w:val="FootnoteReference"/>
          <w:rtl/>
        </w:rPr>
        <w:t>)</w:t>
      </w:r>
      <w:r>
        <w:rPr>
          <w:rtl/>
        </w:rPr>
        <w:t xml:space="preserve"> </w:t>
      </w:r>
      <w:r w:rsidRPr="00D67EDA">
        <w:rPr>
          <w:rFonts w:asciiTheme="minorBidi" w:hAnsiTheme="minorBidi" w:cstheme="minorBidi"/>
          <w:rtl/>
        </w:rPr>
        <w:t>يتوافق هذا المقترح مع مبدأ "التكافؤ الوظيفي" الوارد في</w:t>
      </w:r>
      <w:r w:rsidRPr="00D67EDA">
        <w:rPr>
          <w:rFonts w:asciiTheme="minorBidi" w:hAnsiTheme="minorBidi" w:cstheme="minorBidi"/>
        </w:rPr>
        <w:t xml:space="preserve">: </w:t>
      </w:r>
      <w:r w:rsidRPr="00D67EDA">
        <w:rPr>
          <w:rFonts w:asciiTheme="minorBidi" w:hAnsiTheme="minorBidi" w:cstheme="minorBidi"/>
          <w:b/>
          <w:bCs/>
          <w:rtl/>
        </w:rPr>
        <w:t>قانون اليونسترال النموذجي بشأن التجارة الإلكترونية</w:t>
      </w:r>
      <w:r>
        <w:rPr>
          <w:rFonts w:asciiTheme="minorBidi" w:hAnsiTheme="minorBidi" w:cstheme="minorBidi" w:hint="cs"/>
          <w:b/>
          <w:bCs/>
          <w:rtl/>
        </w:rPr>
        <w:t>، 2022.</w:t>
      </w:r>
    </w:p>
  </w:footnote>
  <w:footnote w:id="22">
    <w:p w14:paraId="752A247E" w14:textId="16AA7A4C" w:rsidR="004D64B0" w:rsidRDefault="004D64B0">
      <w:pPr>
        <w:pStyle w:val="FootnoteText"/>
      </w:pPr>
      <w:r>
        <w:rPr>
          <w:rStyle w:val="FootnoteReference"/>
          <w:rtl/>
        </w:rPr>
        <w:t>(</w:t>
      </w:r>
      <w:r>
        <w:rPr>
          <w:rStyle w:val="FootnoteReference"/>
          <w:rtl/>
        </w:rPr>
        <w:footnoteRef/>
      </w:r>
      <w:r>
        <w:rPr>
          <w:rStyle w:val="FootnoteReference"/>
          <w:rtl/>
        </w:rPr>
        <w:t>)</w:t>
      </w:r>
      <w:r>
        <w:rPr>
          <w:rtl/>
        </w:rPr>
        <w:t xml:space="preserve"> </w:t>
      </w:r>
      <w:r w:rsidRPr="00D67EDA">
        <w:rPr>
          <w:rFonts w:asciiTheme="minorBidi" w:hAnsiTheme="minorBidi" w:cstheme="minorBidi"/>
          <w:rtl/>
        </w:rPr>
        <w:t>العواملة، حازم</w:t>
      </w:r>
      <w:r>
        <w:rPr>
          <w:rFonts w:asciiTheme="minorBidi" w:hAnsiTheme="minorBidi" w:cstheme="minorBidi" w:hint="cs"/>
          <w:rtl/>
        </w:rPr>
        <w:t xml:space="preserve">، (2019) </w:t>
      </w:r>
      <w:r w:rsidRPr="00D67EDA">
        <w:rPr>
          <w:rFonts w:asciiTheme="minorBidi" w:hAnsiTheme="minorBidi" w:cstheme="minorBidi"/>
          <w:b/>
          <w:bCs/>
          <w:rtl/>
        </w:rPr>
        <w:t>السلطة التقديرية للقاضي في تقدير البينة الإلكترونية</w:t>
      </w:r>
      <w:r w:rsidRPr="00D67EDA">
        <w:rPr>
          <w:rFonts w:asciiTheme="minorBidi" w:hAnsiTheme="minorBidi" w:cstheme="minorBidi"/>
        </w:rPr>
        <w:t xml:space="preserve">. </w:t>
      </w:r>
      <w:r w:rsidRPr="00D67EDA">
        <w:rPr>
          <w:rFonts w:asciiTheme="minorBidi" w:hAnsiTheme="minorBidi" w:cstheme="minorBidi"/>
          <w:rtl/>
        </w:rPr>
        <w:t>دار وائل للنشر، ص. 95</w:t>
      </w:r>
      <w:r w:rsidRPr="00D67EDA">
        <w:rPr>
          <w:rFonts w:asciiTheme="minorBidi" w:hAnsiTheme="minorBidi" w:cstheme="minorBidi"/>
        </w:rPr>
        <w:t>.</w:t>
      </w:r>
    </w:p>
  </w:footnote>
  <w:footnote w:id="23">
    <w:p w14:paraId="563CBB62" w14:textId="5D2E180D" w:rsidR="004D64B0" w:rsidRDefault="004D64B0" w:rsidP="004D64B0">
      <w:pPr>
        <w:pStyle w:val="FootnoteText"/>
        <w:bidi w:val="0"/>
      </w:pPr>
      <w:r>
        <w:rPr>
          <w:rStyle w:val="FootnoteReference"/>
        </w:rPr>
        <w:t>(</w:t>
      </w:r>
      <w:r>
        <w:rPr>
          <w:rStyle w:val="FootnoteReference"/>
        </w:rPr>
        <w:footnoteRef/>
      </w:r>
      <w:r>
        <w:rPr>
          <w:rStyle w:val="FootnoteReference"/>
        </w:rPr>
        <w:t>)</w:t>
      </w:r>
      <w:r>
        <w:rPr>
          <w:rtl/>
        </w:rPr>
        <w:t xml:space="preserve"> </w:t>
      </w:r>
      <w:r w:rsidRPr="00D67EDA">
        <w:rPr>
          <w:rFonts w:asciiTheme="minorBidi" w:hAnsiTheme="minorBidi" w:cstheme="minorBidi"/>
        </w:rPr>
        <w:t xml:space="preserve">Mason, S., &amp; Seng, D. (Eds.). (2023). </w:t>
      </w:r>
      <w:r w:rsidRPr="00D67EDA">
        <w:rPr>
          <w:rFonts w:asciiTheme="minorBidi" w:hAnsiTheme="minorBidi" w:cstheme="minorBidi"/>
          <w:b/>
          <w:bCs/>
        </w:rPr>
        <w:t>Electronic Evidence and Electronic Signatures</w:t>
      </w:r>
      <w:r w:rsidRPr="00D67EDA">
        <w:rPr>
          <w:rFonts w:asciiTheme="minorBidi" w:hAnsiTheme="minorBidi" w:cstheme="minorBidi"/>
        </w:rPr>
        <w:t>. University of London Press.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8B8E" w14:textId="3A680674" w:rsidR="008F7D5F" w:rsidRPr="004D64B0" w:rsidRDefault="004D64B0" w:rsidP="004D64B0">
    <w:pPr>
      <w:pStyle w:val="Header"/>
      <w:pBdr>
        <w:bottom w:val="single" w:sz="4" w:space="1" w:color="auto"/>
      </w:pBdr>
      <w:jc w:val="center"/>
      <w:rPr>
        <w:rFonts w:eastAsia="Calibri"/>
        <w:rtl/>
      </w:rPr>
    </w:pPr>
    <w:r w:rsidRPr="004D64B0">
      <w:rPr>
        <w:rFonts w:asciiTheme="minorHAnsi" w:eastAsia="Calibri" w:hAnsiTheme="minorHAnsi" w:cs="Calibri"/>
        <w:sz w:val="24"/>
        <w:szCs w:val="24"/>
        <w:rtl/>
        <w:lang w:bidi="ar-IQ"/>
      </w:rPr>
      <w:t>تطوير قانون البينات الأردني في مواجهة التحديات الرقمية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28C8" w14:textId="608D1CB6" w:rsidR="001024F1" w:rsidRPr="00BF1232" w:rsidRDefault="002E5808" w:rsidP="002B7D7C">
    <w:pPr>
      <w:pBdr>
        <w:bottom w:val="single" w:sz="4" w:space="1" w:color="auto"/>
      </w:pBdr>
      <w:tabs>
        <w:tab w:val="center" w:pos="4153"/>
        <w:tab w:val="right" w:pos="8306"/>
      </w:tabs>
      <w:bidi w:val="0"/>
      <w:spacing w:after="0" w:line="259" w:lineRule="auto"/>
      <w:jc w:val="center"/>
      <w:rPr>
        <w:rFonts w:asciiTheme="majorBidi" w:eastAsia="Calibri" w:hAnsiTheme="majorBidi" w:cstheme="majorBidi"/>
        <w:sz w:val="20"/>
        <w:szCs w:val="20"/>
        <w:rtl/>
      </w:rPr>
    </w:pPr>
    <w:r>
      <w:rPr>
        <w:rFonts w:asciiTheme="majorBidi" w:eastAsia="Calibri" w:hAnsiTheme="majorBidi" w:cstheme="majorBidi"/>
        <w:b/>
        <w:bCs/>
        <w:sz w:val="20"/>
        <w:szCs w:val="20"/>
        <w:lang w:bidi="ar-IQ"/>
      </w:rPr>
      <w:t>10</w:t>
    </w:r>
    <w:r w:rsidR="00C905DF" w:rsidRPr="00BF1232">
      <w:rPr>
        <w:rFonts w:asciiTheme="majorBidi" w:eastAsia="Calibri" w:hAnsiTheme="majorBidi" w:cstheme="majorBidi"/>
        <w:b/>
        <w:bCs/>
        <w:sz w:val="20"/>
        <w:szCs w:val="20"/>
        <w:vertAlign w:val="superscript"/>
        <w:lang w:bidi="ar-IQ"/>
      </w:rPr>
      <w:t>th</w:t>
    </w:r>
    <w:r w:rsidR="00C905DF" w:rsidRPr="00BF1232">
      <w:rPr>
        <w:rFonts w:asciiTheme="majorBidi" w:eastAsia="Calibri" w:hAnsiTheme="majorBidi" w:cstheme="majorBidi"/>
        <w:b/>
        <w:bCs/>
        <w:sz w:val="20"/>
        <w:szCs w:val="20"/>
        <w:lang w:bidi="ar-IQ"/>
      </w:rPr>
      <w:t xml:space="preserve"> International Legal Issues Conference (ILIC</w:t>
    </w:r>
    <w:r>
      <w:rPr>
        <w:rFonts w:asciiTheme="majorBidi" w:eastAsia="Calibri" w:hAnsiTheme="majorBidi" w:cstheme="majorBidi"/>
        <w:b/>
        <w:bCs/>
        <w:sz w:val="20"/>
        <w:szCs w:val="20"/>
        <w:lang w:bidi="ar-IQ"/>
      </w:rPr>
      <w:t>10</w:t>
    </w:r>
    <w:r w:rsidR="004B3A4D" w:rsidRPr="00BF1232">
      <w:rPr>
        <w:rFonts w:asciiTheme="majorBidi" w:eastAsia="Calibri" w:hAnsiTheme="majorBidi" w:cstheme="majorBidi"/>
        <w:b/>
        <w:bCs/>
        <w:sz w:val="20"/>
        <w:szCs w:val="20"/>
        <w:lang w:bidi="ar-IQ"/>
      </w:rPr>
      <w:t>)</w:t>
    </w:r>
    <w:r w:rsidR="004B3A4D">
      <w:rPr>
        <w:rFonts w:asciiTheme="majorBidi" w:eastAsia="Calibri" w:hAnsiTheme="majorBidi" w:cstheme="majorBidi"/>
        <w:b/>
        <w:bCs/>
        <w:sz w:val="20"/>
        <w:szCs w:val="20"/>
        <w:lang w:bidi="ar-IQ"/>
      </w:rPr>
      <w:t xml:space="preserve"> ISBN</w:t>
    </w:r>
    <w:r w:rsidR="00DF49CD" w:rsidRPr="00DF49CD">
      <w:rPr>
        <w:rFonts w:asciiTheme="majorBidi" w:eastAsia="Calibri" w:hAnsiTheme="majorBidi" w:cstheme="majorBidi"/>
        <w:b/>
        <w:bCs/>
        <w:sz w:val="20"/>
        <w:szCs w:val="20"/>
        <w:lang w:bidi="ar-IQ"/>
      </w:rPr>
      <w:t xml:space="preserve">: </w:t>
    </w:r>
    <w:r w:rsidRPr="002E5808">
      <w:rPr>
        <w:rFonts w:asciiTheme="majorBidi" w:eastAsia="Calibri" w:hAnsiTheme="majorBidi" w:cstheme="majorBidi"/>
        <w:b/>
        <w:bCs/>
        <w:sz w:val="20"/>
        <w:szCs w:val="20"/>
        <w:lang w:bidi="ar-IQ"/>
      </w:rPr>
      <w:t>979-8-9890269-4-4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B33D2" w14:textId="77777777" w:rsidR="001024F1" w:rsidRDefault="00000000">
    <w:pPr>
      <w:pStyle w:val="a3"/>
    </w:pPr>
    <w:r>
      <w:rPr>
        <w:noProof/>
      </w:rPr>
      <w:pict w14:anchorId="35F48F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8382" o:spid="_x0000_s1025" type="#_x0000_t75" style="position:absolute;margin-left:0;margin-top:0;width:374.05pt;height:376.95pt;z-index:-251658752;mso-position-horizontal:center;mso-position-horizontal-relative:margin;mso-position-vertical:center;mso-position-vertical-relative:margin" o:allowincell="f">
          <v:imagedata r:id="rId1" o:title="k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78CE83C"/>
    <w:lvl w:ilvl="0" w:tplc="A01A84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0000002"/>
    <w:multiLevelType w:val="hybridMultilevel"/>
    <w:tmpl w:val="5FA6E15C"/>
    <w:lvl w:ilvl="0" w:tplc="38FC8CCE">
      <w:start w:val="1"/>
      <w:numFmt w:val="decimal"/>
      <w:lvlText w:val="%1."/>
      <w:lvlJc w:val="left"/>
      <w:pPr>
        <w:ind w:left="720" w:hanging="360"/>
      </w:pPr>
      <w:rPr>
        <w:rFonts w:asciiTheme="minorBidi" w:eastAsia="SimSun" w:hAnsiTheme="minorBidi" w:cs="Arial"/>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0000004"/>
    <w:multiLevelType w:val="hybridMultilevel"/>
    <w:tmpl w:val="E064DED2"/>
    <w:lvl w:ilvl="0" w:tplc="D08E7A0A">
      <w:start w:val="1"/>
      <w:numFmt w:val="decimal"/>
      <w:lvlText w:val="%1-"/>
      <w:lvlJc w:val="right"/>
      <w:pPr>
        <w:ind w:left="720" w:hanging="360"/>
      </w:pPr>
      <w:rPr>
        <w:rFonts w:hint="default"/>
        <w:sz w:val="24"/>
        <w:szCs w:val="24"/>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0000005"/>
    <w:multiLevelType w:val="hybridMultilevel"/>
    <w:tmpl w:val="681A37E6"/>
    <w:lvl w:ilvl="0" w:tplc="EDB0024A">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0000007"/>
    <w:multiLevelType w:val="hybridMultilevel"/>
    <w:tmpl w:val="7EA8546C"/>
    <w:lvl w:ilvl="0" w:tplc="A01A84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0000008"/>
    <w:multiLevelType w:val="hybridMultilevel"/>
    <w:tmpl w:val="5B58A890"/>
    <w:lvl w:ilvl="0" w:tplc="A01A84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10122FB"/>
    <w:multiLevelType w:val="multilevel"/>
    <w:tmpl w:val="4D3C69F0"/>
    <w:lvl w:ilvl="0">
      <w:start w:val="1"/>
      <w:numFmt w:val="arabicAlpha"/>
      <w:lvlText w:val="%1-"/>
      <w:lvlJc w:val="left"/>
      <w:pPr>
        <w:tabs>
          <w:tab w:val="num" w:pos="360"/>
        </w:tabs>
        <w:ind w:left="360" w:hanging="360"/>
      </w:pPr>
      <w:rPr>
        <w:rFonts w:ascii="Simplified Arabic" w:eastAsiaTheme="minorHAnsi" w:hAnsi="Simplified Arabic" w:cs="Simplified Arabic"/>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1053B66"/>
    <w:multiLevelType w:val="multilevel"/>
    <w:tmpl w:val="CBBC988A"/>
    <w:lvl w:ilvl="0">
      <w:start w:val="1"/>
      <w:numFmt w:val="arabicAlpha"/>
      <w:lvlText w:val="%1-"/>
      <w:lvlJc w:val="left"/>
      <w:pPr>
        <w:tabs>
          <w:tab w:val="num" w:pos="360"/>
        </w:tabs>
        <w:ind w:left="360" w:hanging="360"/>
      </w:pPr>
      <w:rPr>
        <w:rFonts w:ascii="Simplified Arabic" w:eastAsiaTheme="minorHAnsi" w:hAnsi="Simplified Arabic" w:cs="Simplified Arabic"/>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1070F81"/>
    <w:multiLevelType w:val="hybridMultilevel"/>
    <w:tmpl w:val="4C5A9E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1C33F4B"/>
    <w:multiLevelType w:val="hybridMultilevel"/>
    <w:tmpl w:val="9B800E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1EA18F8"/>
    <w:multiLevelType w:val="multilevel"/>
    <w:tmpl w:val="0A2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104A77"/>
    <w:multiLevelType w:val="hybridMultilevel"/>
    <w:tmpl w:val="E9CE3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2B6BE0"/>
    <w:multiLevelType w:val="hybridMultilevel"/>
    <w:tmpl w:val="88A24F2E"/>
    <w:lvl w:ilvl="0" w:tplc="E70AFBCA">
      <w:start w:val="1"/>
      <w:numFmt w:val="decimal"/>
      <w:lvlText w:val="%1."/>
      <w:lvlJc w:val="left"/>
      <w:pPr>
        <w:ind w:left="284" w:hanging="360"/>
      </w:pPr>
      <w:rPr>
        <w:b w:val="0"/>
        <w:bCs w:val="0"/>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3" w15:restartNumberingAfterBreak="0">
    <w:nsid w:val="027B5B99"/>
    <w:multiLevelType w:val="multilevel"/>
    <w:tmpl w:val="AC862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161C76"/>
    <w:multiLevelType w:val="multilevel"/>
    <w:tmpl w:val="0AE8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5178BE"/>
    <w:multiLevelType w:val="hybridMultilevel"/>
    <w:tmpl w:val="DF9E357E"/>
    <w:lvl w:ilvl="0" w:tplc="0409000F">
      <w:start w:val="1"/>
      <w:numFmt w:val="decimal"/>
      <w:lvlText w:val="%1."/>
      <w:lvlJc w:val="left"/>
      <w:pPr>
        <w:ind w:left="1447" w:hanging="360"/>
      </w:p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16" w15:restartNumberingAfterBreak="0">
    <w:nsid w:val="03A45C6B"/>
    <w:multiLevelType w:val="hybridMultilevel"/>
    <w:tmpl w:val="640C7C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3CD02BD"/>
    <w:multiLevelType w:val="multilevel"/>
    <w:tmpl w:val="05166F6C"/>
    <w:lvl w:ilvl="0">
      <w:start w:val="1"/>
      <w:numFmt w:val="arabicAlpha"/>
      <w:lvlText w:val="%1-"/>
      <w:lvlJc w:val="left"/>
      <w:pPr>
        <w:tabs>
          <w:tab w:val="num" w:pos="360"/>
        </w:tabs>
        <w:ind w:left="360" w:hanging="360"/>
      </w:pPr>
      <w:rPr>
        <w:rFonts w:ascii="Simplified Arabic" w:eastAsiaTheme="minorHAnsi" w:hAnsi="Simplified Arabic" w:cs="Simplified Arabic"/>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0582009E"/>
    <w:multiLevelType w:val="hybridMultilevel"/>
    <w:tmpl w:val="D568AC9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064B2BBC"/>
    <w:multiLevelType w:val="multilevel"/>
    <w:tmpl w:val="051A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F765EE"/>
    <w:multiLevelType w:val="hybridMultilevel"/>
    <w:tmpl w:val="2FE85C0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15:restartNumberingAfterBreak="0">
    <w:nsid w:val="0700419D"/>
    <w:multiLevelType w:val="multilevel"/>
    <w:tmpl w:val="D5F0E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7A16AF2"/>
    <w:multiLevelType w:val="hybridMultilevel"/>
    <w:tmpl w:val="F83C99AA"/>
    <w:lvl w:ilvl="0" w:tplc="25C07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8A66E6D"/>
    <w:multiLevelType w:val="hybridMultilevel"/>
    <w:tmpl w:val="DDDCEFD8"/>
    <w:lvl w:ilvl="0" w:tplc="12BE68D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8ED0EA7"/>
    <w:multiLevelType w:val="multilevel"/>
    <w:tmpl w:val="9816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676E44"/>
    <w:multiLevelType w:val="hybridMultilevel"/>
    <w:tmpl w:val="D132E066"/>
    <w:lvl w:ilvl="0" w:tplc="1646C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9813F85"/>
    <w:multiLevelType w:val="multilevel"/>
    <w:tmpl w:val="0A7EB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A243CA2"/>
    <w:multiLevelType w:val="hybridMultilevel"/>
    <w:tmpl w:val="E77E5EF0"/>
    <w:lvl w:ilvl="0" w:tplc="4EDEF5F8">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AC72560"/>
    <w:multiLevelType w:val="multilevel"/>
    <w:tmpl w:val="0F10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570E04"/>
    <w:multiLevelType w:val="multilevel"/>
    <w:tmpl w:val="D980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AA0697"/>
    <w:multiLevelType w:val="hybridMultilevel"/>
    <w:tmpl w:val="98F45E7C"/>
    <w:lvl w:ilvl="0" w:tplc="77A0B7A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0CD030F9"/>
    <w:multiLevelType w:val="hybridMultilevel"/>
    <w:tmpl w:val="0FAA515E"/>
    <w:lvl w:ilvl="0" w:tplc="138082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CE139A2"/>
    <w:multiLevelType w:val="multilevel"/>
    <w:tmpl w:val="89FC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273F2D"/>
    <w:multiLevelType w:val="multilevel"/>
    <w:tmpl w:val="B27CC67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0D5405F6"/>
    <w:multiLevelType w:val="multilevel"/>
    <w:tmpl w:val="D21E74B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0D5D548D"/>
    <w:multiLevelType w:val="hybridMultilevel"/>
    <w:tmpl w:val="39528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DBC0721"/>
    <w:multiLevelType w:val="multilevel"/>
    <w:tmpl w:val="528E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DE24436"/>
    <w:multiLevelType w:val="multilevel"/>
    <w:tmpl w:val="9DEC1554"/>
    <w:lvl w:ilvl="0">
      <w:start w:val="1"/>
      <w:numFmt w:val="arabicAlpha"/>
      <w:lvlText w:val="%1-"/>
      <w:lvlJc w:val="left"/>
      <w:pPr>
        <w:tabs>
          <w:tab w:val="num" w:pos="360"/>
        </w:tabs>
        <w:ind w:left="360" w:hanging="360"/>
      </w:pPr>
      <w:rPr>
        <w:rFonts w:ascii="Simplified Arabic" w:eastAsiaTheme="minorHAnsi" w:hAnsi="Simplified Arabic" w:cs="Simplified Arabic"/>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0FB6641F"/>
    <w:multiLevelType w:val="hybridMultilevel"/>
    <w:tmpl w:val="ABA0B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04C66A7"/>
    <w:multiLevelType w:val="multilevel"/>
    <w:tmpl w:val="C90C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0F25460"/>
    <w:multiLevelType w:val="multilevel"/>
    <w:tmpl w:val="C5C8F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2062263"/>
    <w:multiLevelType w:val="multilevel"/>
    <w:tmpl w:val="2BD04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3A95EF8"/>
    <w:multiLevelType w:val="hybridMultilevel"/>
    <w:tmpl w:val="C67E885E"/>
    <w:lvl w:ilvl="0" w:tplc="5350AE74">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3C066CC"/>
    <w:multiLevelType w:val="hybridMultilevel"/>
    <w:tmpl w:val="2CE8139A"/>
    <w:lvl w:ilvl="0" w:tplc="3C1EAB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43D1667"/>
    <w:multiLevelType w:val="multilevel"/>
    <w:tmpl w:val="6828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469395C"/>
    <w:multiLevelType w:val="hybridMultilevel"/>
    <w:tmpl w:val="10167A84"/>
    <w:lvl w:ilvl="0" w:tplc="A5FAF49E">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4F64307"/>
    <w:multiLevelType w:val="hybridMultilevel"/>
    <w:tmpl w:val="FD067CB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4F9492F"/>
    <w:multiLevelType w:val="hybridMultilevel"/>
    <w:tmpl w:val="9766D172"/>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6B83EDE"/>
    <w:multiLevelType w:val="multilevel"/>
    <w:tmpl w:val="2FFE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6C41056"/>
    <w:multiLevelType w:val="hybridMultilevel"/>
    <w:tmpl w:val="AA10B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779357E"/>
    <w:multiLevelType w:val="hybridMultilevel"/>
    <w:tmpl w:val="91586E6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184F4336"/>
    <w:multiLevelType w:val="hybridMultilevel"/>
    <w:tmpl w:val="52F02A36"/>
    <w:lvl w:ilvl="0" w:tplc="73388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85D5ACF"/>
    <w:multiLevelType w:val="multilevel"/>
    <w:tmpl w:val="07FCC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8A114DA"/>
    <w:multiLevelType w:val="multilevel"/>
    <w:tmpl w:val="262E2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8BF088A"/>
    <w:multiLevelType w:val="multilevel"/>
    <w:tmpl w:val="7C00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8EA7DBD"/>
    <w:multiLevelType w:val="hybridMultilevel"/>
    <w:tmpl w:val="41247D28"/>
    <w:lvl w:ilvl="0" w:tplc="5F769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9714153"/>
    <w:multiLevelType w:val="multilevel"/>
    <w:tmpl w:val="BEC066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1AD04DAB"/>
    <w:multiLevelType w:val="hybridMultilevel"/>
    <w:tmpl w:val="CE04F8D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1BFA74A1"/>
    <w:multiLevelType w:val="multilevel"/>
    <w:tmpl w:val="26A6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C7F739B"/>
    <w:multiLevelType w:val="multilevel"/>
    <w:tmpl w:val="ABE2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D3536C8"/>
    <w:multiLevelType w:val="multilevel"/>
    <w:tmpl w:val="BCD8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D410351"/>
    <w:multiLevelType w:val="multilevel"/>
    <w:tmpl w:val="BCEC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D4C2850"/>
    <w:multiLevelType w:val="multilevel"/>
    <w:tmpl w:val="6A90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D796402"/>
    <w:multiLevelType w:val="hybridMultilevel"/>
    <w:tmpl w:val="1DE095B8"/>
    <w:lvl w:ilvl="0" w:tplc="17BE492A">
      <w:numFmt w:val="bullet"/>
      <w:lvlText w:val="-"/>
      <w:lvlJc w:val="left"/>
      <w:pPr>
        <w:ind w:left="720" w:hanging="360"/>
      </w:pPr>
      <w:rPr>
        <w:rFonts w:ascii="Unikurd Goran" w:eastAsiaTheme="minorHAnsi" w:hAnsi="Unikurd Goran" w:cs="Unikurd Gor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E9605E8"/>
    <w:multiLevelType w:val="hybridMultilevel"/>
    <w:tmpl w:val="89E81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FC63114"/>
    <w:multiLevelType w:val="multilevel"/>
    <w:tmpl w:val="EE88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FFC2EEF"/>
    <w:multiLevelType w:val="singleLevel"/>
    <w:tmpl w:val="F8E40DD6"/>
    <w:lvl w:ilvl="0">
      <w:start w:val="16"/>
      <w:numFmt w:val="decimal"/>
      <w:lvlText w:val="%1."/>
      <w:lvlJc w:val="center"/>
      <w:pPr>
        <w:tabs>
          <w:tab w:val="num" w:pos="648"/>
        </w:tabs>
        <w:ind w:left="360" w:hanging="72"/>
      </w:pPr>
    </w:lvl>
  </w:abstractNum>
  <w:abstractNum w:abstractNumId="67" w15:restartNumberingAfterBreak="0">
    <w:nsid w:val="20324DBC"/>
    <w:multiLevelType w:val="hybridMultilevel"/>
    <w:tmpl w:val="569E8064"/>
    <w:lvl w:ilvl="0" w:tplc="04090011">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07F5DA6"/>
    <w:multiLevelType w:val="multilevel"/>
    <w:tmpl w:val="E1F65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0E81279"/>
    <w:multiLevelType w:val="multilevel"/>
    <w:tmpl w:val="EEDC0626"/>
    <w:lvl w:ilvl="0">
      <w:start w:val="1"/>
      <w:numFmt w:val="decimal"/>
      <w:lvlText w:val="%1."/>
      <w:lvlJc w:val="left"/>
      <w:pPr>
        <w:ind w:left="720" w:hanging="360"/>
      </w:pPr>
      <w:rPr>
        <w:rFonts w:ascii="Unikurd Goran" w:eastAsiaTheme="minorHAnsi" w:hAnsi="Unikurd Goran" w:cs="Unikurd Gor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15:restartNumberingAfterBreak="0">
    <w:nsid w:val="21061420"/>
    <w:multiLevelType w:val="hybridMultilevel"/>
    <w:tmpl w:val="5E567C84"/>
    <w:lvl w:ilvl="0" w:tplc="64D25B06">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1" w15:restartNumberingAfterBreak="0">
    <w:nsid w:val="217406E1"/>
    <w:multiLevelType w:val="hybridMultilevel"/>
    <w:tmpl w:val="6D0CE2CA"/>
    <w:lvl w:ilvl="0" w:tplc="1700C00E">
      <w:start w:val="1"/>
      <w:numFmt w:val="decimal"/>
      <w:lvlText w:val="%1-"/>
      <w:lvlJc w:val="left"/>
      <w:pPr>
        <w:ind w:left="630" w:hanging="360"/>
      </w:pPr>
      <w:rPr>
        <w:rFonts w:asciiTheme="minorHAnsi" w:eastAsiaTheme="minorHAnsi" w:hAnsiTheme="minorHAnsi" w:cstheme="minorBidi"/>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2" w15:restartNumberingAfterBreak="0">
    <w:nsid w:val="21DA552F"/>
    <w:multiLevelType w:val="hybridMultilevel"/>
    <w:tmpl w:val="E87EEE78"/>
    <w:lvl w:ilvl="0" w:tplc="7D547BB2">
      <w:start w:val="1"/>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25261C9"/>
    <w:multiLevelType w:val="hybridMultilevel"/>
    <w:tmpl w:val="A0A2037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0F336E"/>
    <w:multiLevelType w:val="hybridMultilevel"/>
    <w:tmpl w:val="C0BA21AC"/>
    <w:lvl w:ilvl="0" w:tplc="2BDE37CA">
      <w:start w:val="2"/>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3DB40A0"/>
    <w:multiLevelType w:val="hybridMultilevel"/>
    <w:tmpl w:val="C56A2470"/>
    <w:lvl w:ilvl="0" w:tplc="E4E6F252">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58A5A23"/>
    <w:multiLevelType w:val="multilevel"/>
    <w:tmpl w:val="58C283F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7" w15:restartNumberingAfterBreak="0">
    <w:nsid w:val="25CC4D80"/>
    <w:multiLevelType w:val="hybridMultilevel"/>
    <w:tmpl w:val="E4EA9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5FE3F27"/>
    <w:multiLevelType w:val="multilevel"/>
    <w:tmpl w:val="D3227F0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6036C2A"/>
    <w:multiLevelType w:val="hybridMultilevel"/>
    <w:tmpl w:val="FF64413C"/>
    <w:lvl w:ilvl="0" w:tplc="38FC8CCE">
      <w:start w:val="1"/>
      <w:numFmt w:val="decimal"/>
      <w:lvlText w:val="%1."/>
      <w:lvlJc w:val="left"/>
      <w:pPr>
        <w:ind w:left="720" w:hanging="360"/>
      </w:pPr>
      <w:rPr>
        <w:rFonts w:asciiTheme="minorBidi" w:eastAsia="SimSun" w:hAnsiTheme="minorBidi"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267A5B93"/>
    <w:multiLevelType w:val="hybridMultilevel"/>
    <w:tmpl w:val="9B800E9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267D53D0"/>
    <w:multiLevelType w:val="hybridMultilevel"/>
    <w:tmpl w:val="1A9AE60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6802EE4"/>
    <w:multiLevelType w:val="hybridMultilevel"/>
    <w:tmpl w:val="C352B3F2"/>
    <w:lvl w:ilvl="0" w:tplc="E8A48A9E">
      <w:start w:val="1"/>
      <w:numFmt w:val="decimal"/>
      <w:lvlText w:val="%1."/>
      <w:lvlJc w:val="left"/>
      <w:pPr>
        <w:ind w:left="1080" w:hanging="360"/>
      </w:pPr>
      <w:rPr>
        <w:rFonts w:asciiTheme="minorBidi" w:eastAsia="Calibri" w:hAnsiTheme="minorBid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27A465FD"/>
    <w:multiLevelType w:val="hybridMultilevel"/>
    <w:tmpl w:val="1EDC24BE"/>
    <w:lvl w:ilvl="0" w:tplc="958493AE">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84" w15:restartNumberingAfterBreak="0">
    <w:nsid w:val="28BE403A"/>
    <w:multiLevelType w:val="hybridMultilevel"/>
    <w:tmpl w:val="907C531A"/>
    <w:lvl w:ilvl="0" w:tplc="D4961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8E17A7A"/>
    <w:multiLevelType w:val="hybridMultilevel"/>
    <w:tmpl w:val="4E02FD48"/>
    <w:lvl w:ilvl="0" w:tplc="5350AE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98D4F32"/>
    <w:multiLevelType w:val="hybridMultilevel"/>
    <w:tmpl w:val="6B6C7F40"/>
    <w:lvl w:ilvl="0" w:tplc="A74A3F36">
      <w:start w:val="2"/>
      <w:numFmt w:val="bullet"/>
      <w:lvlText w:val="-"/>
      <w:lvlJc w:val="left"/>
      <w:pPr>
        <w:ind w:left="360" w:hanging="360"/>
      </w:pPr>
      <w:rPr>
        <w:rFonts w:ascii="Simplified Arabic" w:eastAsia="Times New Roman" w:hAnsi="Simplified Arabic" w:cs="Simplified Arabic" w:hint="default"/>
      </w:rPr>
    </w:lvl>
    <w:lvl w:ilvl="1" w:tplc="040C0003" w:tentative="1">
      <w:start w:val="1"/>
      <w:numFmt w:val="bullet"/>
      <w:lvlText w:val="o"/>
      <w:lvlJc w:val="left"/>
      <w:pPr>
        <w:ind w:left="795" w:hanging="360"/>
      </w:pPr>
      <w:rPr>
        <w:rFonts w:ascii="Courier New" w:hAnsi="Courier New" w:cs="Courier New" w:hint="default"/>
      </w:rPr>
    </w:lvl>
    <w:lvl w:ilvl="2" w:tplc="040C0005" w:tentative="1">
      <w:start w:val="1"/>
      <w:numFmt w:val="bullet"/>
      <w:lvlText w:val=""/>
      <w:lvlJc w:val="left"/>
      <w:pPr>
        <w:ind w:left="1515" w:hanging="360"/>
      </w:pPr>
      <w:rPr>
        <w:rFonts w:ascii="Wingdings" w:hAnsi="Wingdings" w:hint="default"/>
      </w:rPr>
    </w:lvl>
    <w:lvl w:ilvl="3" w:tplc="040C0001" w:tentative="1">
      <w:start w:val="1"/>
      <w:numFmt w:val="bullet"/>
      <w:lvlText w:val=""/>
      <w:lvlJc w:val="left"/>
      <w:pPr>
        <w:ind w:left="2235" w:hanging="360"/>
      </w:pPr>
      <w:rPr>
        <w:rFonts w:ascii="Symbol" w:hAnsi="Symbol" w:hint="default"/>
      </w:rPr>
    </w:lvl>
    <w:lvl w:ilvl="4" w:tplc="040C0003" w:tentative="1">
      <w:start w:val="1"/>
      <w:numFmt w:val="bullet"/>
      <w:lvlText w:val="o"/>
      <w:lvlJc w:val="left"/>
      <w:pPr>
        <w:ind w:left="2955" w:hanging="360"/>
      </w:pPr>
      <w:rPr>
        <w:rFonts w:ascii="Courier New" w:hAnsi="Courier New" w:cs="Courier New" w:hint="default"/>
      </w:rPr>
    </w:lvl>
    <w:lvl w:ilvl="5" w:tplc="040C0005" w:tentative="1">
      <w:start w:val="1"/>
      <w:numFmt w:val="bullet"/>
      <w:lvlText w:val=""/>
      <w:lvlJc w:val="left"/>
      <w:pPr>
        <w:ind w:left="3675" w:hanging="360"/>
      </w:pPr>
      <w:rPr>
        <w:rFonts w:ascii="Wingdings" w:hAnsi="Wingdings" w:hint="default"/>
      </w:rPr>
    </w:lvl>
    <w:lvl w:ilvl="6" w:tplc="040C0001" w:tentative="1">
      <w:start w:val="1"/>
      <w:numFmt w:val="bullet"/>
      <w:lvlText w:val=""/>
      <w:lvlJc w:val="left"/>
      <w:pPr>
        <w:ind w:left="4395" w:hanging="360"/>
      </w:pPr>
      <w:rPr>
        <w:rFonts w:ascii="Symbol" w:hAnsi="Symbol" w:hint="default"/>
      </w:rPr>
    </w:lvl>
    <w:lvl w:ilvl="7" w:tplc="040C0003" w:tentative="1">
      <w:start w:val="1"/>
      <w:numFmt w:val="bullet"/>
      <w:lvlText w:val="o"/>
      <w:lvlJc w:val="left"/>
      <w:pPr>
        <w:ind w:left="5115" w:hanging="360"/>
      </w:pPr>
      <w:rPr>
        <w:rFonts w:ascii="Courier New" w:hAnsi="Courier New" w:cs="Courier New" w:hint="default"/>
      </w:rPr>
    </w:lvl>
    <w:lvl w:ilvl="8" w:tplc="040C0005" w:tentative="1">
      <w:start w:val="1"/>
      <w:numFmt w:val="bullet"/>
      <w:lvlText w:val=""/>
      <w:lvlJc w:val="left"/>
      <w:pPr>
        <w:ind w:left="5835" w:hanging="360"/>
      </w:pPr>
      <w:rPr>
        <w:rFonts w:ascii="Wingdings" w:hAnsi="Wingdings" w:hint="default"/>
      </w:rPr>
    </w:lvl>
  </w:abstractNum>
  <w:abstractNum w:abstractNumId="87" w15:restartNumberingAfterBreak="0">
    <w:nsid w:val="29C369E9"/>
    <w:multiLevelType w:val="hybridMultilevel"/>
    <w:tmpl w:val="9FE0D93E"/>
    <w:lvl w:ilvl="0" w:tplc="9F32CF84">
      <w:numFmt w:val="bullet"/>
      <w:lvlText w:val="-"/>
      <w:lvlJc w:val="left"/>
      <w:pPr>
        <w:ind w:left="36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9D86B38"/>
    <w:multiLevelType w:val="hybridMultilevel"/>
    <w:tmpl w:val="E6CA738E"/>
    <w:lvl w:ilvl="0" w:tplc="2B96864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9FE2294"/>
    <w:multiLevelType w:val="multilevel"/>
    <w:tmpl w:val="9738A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B661F31"/>
    <w:multiLevelType w:val="multilevel"/>
    <w:tmpl w:val="AE9E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BAC20A0"/>
    <w:multiLevelType w:val="multilevel"/>
    <w:tmpl w:val="F08E3A0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C1C7083"/>
    <w:multiLevelType w:val="hybridMultilevel"/>
    <w:tmpl w:val="20F82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C2E0925"/>
    <w:multiLevelType w:val="multilevel"/>
    <w:tmpl w:val="E734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C39309D"/>
    <w:multiLevelType w:val="hybridMultilevel"/>
    <w:tmpl w:val="8B2A4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C684F54"/>
    <w:multiLevelType w:val="multilevel"/>
    <w:tmpl w:val="FCC0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D357C9B"/>
    <w:multiLevelType w:val="hybridMultilevel"/>
    <w:tmpl w:val="25BC27BC"/>
    <w:lvl w:ilvl="0" w:tplc="8D3CC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D3A4AB0"/>
    <w:multiLevelType w:val="hybridMultilevel"/>
    <w:tmpl w:val="17C89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D740790"/>
    <w:multiLevelType w:val="hybridMultilevel"/>
    <w:tmpl w:val="A7A0309C"/>
    <w:lvl w:ilvl="0" w:tplc="5350AE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E5D647F"/>
    <w:multiLevelType w:val="hybridMultilevel"/>
    <w:tmpl w:val="3E52424E"/>
    <w:lvl w:ilvl="0" w:tplc="EDB0024A">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2EC45123"/>
    <w:multiLevelType w:val="multilevel"/>
    <w:tmpl w:val="E2DC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F5055FC"/>
    <w:multiLevelType w:val="multilevel"/>
    <w:tmpl w:val="F3884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F947DF9"/>
    <w:multiLevelType w:val="hybridMultilevel"/>
    <w:tmpl w:val="D3D06B46"/>
    <w:lvl w:ilvl="0" w:tplc="450898B4">
      <w:start w:val="1"/>
      <w:numFmt w:val="bullet"/>
      <w:lvlText w:val="-"/>
      <w:lvlJc w:val="left"/>
      <w:pPr>
        <w:ind w:left="1080" w:hanging="360"/>
      </w:pPr>
      <w:rPr>
        <w:rFonts w:ascii="Unikurd Goran" w:eastAsiaTheme="minorHAnsi" w:hAnsi="Unikurd Goran" w:cs="Unikurd Gor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2FC85872"/>
    <w:multiLevelType w:val="hybridMultilevel"/>
    <w:tmpl w:val="5F62A4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30AE3B2B"/>
    <w:multiLevelType w:val="hybridMultilevel"/>
    <w:tmpl w:val="5F62A4B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15:restartNumberingAfterBreak="0">
    <w:nsid w:val="30C369F8"/>
    <w:multiLevelType w:val="multilevel"/>
    <w:tmpl w:val="56686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0CB246D"/>
    <w:multiLevelType w:val="hybridMultilevel"/>
    <w:tmpl w:val="5F62A4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316405AD"/>
    <w:multiLevelType w:val="hybridMultilevel"/>
    <w:tmpl w:val="72A6A570"/>
    <w:lvl w:ilvl="0" w:tplc="A71450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17347BF"/>
    <w:multiLevelType w:val="multilevel"/>
    <w:tmpl w:val="3AA06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19B3D5A"/>
    <w:multiLevelType w:val="hybridMultilevel"/>
    <w:tmpl w:val="5A2260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31C1672B"/>
    <w:multiLevelType w:val="hybridMultilevel"/>
    <w:tmpl w:val="71565A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2AA60F5"/>
    <w:multiLevelType w:val="multilevel"/>
    <w:tmpl w:val="C406A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2D37E8F"/>
    <w:multiLevelType w:val="hybridMultilevel"/>
    <w:tmpl w:val="30546A2A"/>
    <w:lvl w:ilvl="0" w:tplc="E7380334">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13" w15:restartNumberingAfterBreak="0">
    <w:nsid w:val="359965EE"/>
    <w:multiLevelType w:val="hybridMultilevel"/>
    <w:tmpl w:val="B02AF1CE"/>
    <w:lvl w:ilvl="0" w:tplc="9F121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5A6680E"/>
    <w:multiLevelType w:val="hybridMultilevel"/>
    <w:tmpl w:val="7318F6E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5F41E19"/>
    <w:multiLevelType w:val="hybridMultilevel"/>
    <w:tmpl w:val="760886CE"/>
    <w:lvl w:ilvl="0" w:tplc="B44A0752">
      <w:start w:val="1"/>
      <w:numFmt w:val="decimal"/>
      <w:suff w:val="space"/>
      <w:lvlText w:val="%1-"/>
      <w:lvlJc w:val="left"/>
      <w:pPr>
        <w:ind w:left="765" w:hanging="4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6900068"/>
    <w:multiLevelType w:val="hybridMultilevel"/>
    <w:tmpl w:val="5BC29CE0"/>
    <w:lvl w:ilvl="0" w:tplc="59DCE562">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6D36B2D"/>
    <w:multiLevelType w:val="multilevel"/>
    <w:tmpl w:val="BFC46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76265E8"/>
    <w:multiLevelType w:val="hybridMultilevel"/>
    <w:tmpl w:val="99944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37740F3D"/>
    <w:multiLevelType w:val="multilevel"/>
    <w:tmpl w:val="AC7EE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7CA7CC3"/>
    <w:multiLevelType w:val="hybridMultilevel"/>
    <w:tmpl w:val="2BFCD1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387F25AF"/>
    <w:multiLevelType w:val="hybridMultilevel"/>
    <w:tmpl w:val="AA224EFA"/>
    <w:lvl w:ilvl="0" w:tplc="1646C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8B70F83"/>
    <w:multiLevelType w:val="hybridMultilevel"/>
    <w:tmpl w:val="26D8B436"/>
    <w:lvl w:ilvl="0" w:tplc="B894A83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8B828B8"/>
    <w:multiLevelType w:val="hybridMultilevel"/>
    <w:tmpl w:val="4F167108"/>
    <w:lvl w:ilvl="0" w:tplc="80048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8F66A9A"/>
    <w:multiLevelType w:val="hybridMultilevel"/>
    <w:tmpl w:val="DE0629E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15:restartNumberingAfterBreak="0">
    <w:nsid w:val="395C42A3"/>
    <w:multiLevelType w:val="hybridMultilevel"/>
    <w:tmpl w:val="350A1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9DE3C40"/>
    <w:multiLevelType w:val="hybridMultilevel"/>
    <w:tmpl w:val="B10C84DC"/>
    <w:lvl w:ilvl="0" w:tplc="FFFFFFFF">
      <w:start w:val="4"/>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A631759"/>
    <w:multiLevelType w:val="hybridMultilevel"/>
    <w:tmpl w:val="E0FEF1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AA04881"/>
    <w:multiLevelType w:val="hybridMultilevel"/>
    <w:tmpl w:val="F7725EF2"/>
    <w:lvl w:ilvl="0" w:tplc="FA7AC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AE9381F"/>
    <w:multiLevelType w:val="hybridMultilevel"/>
    <w:tmpl w:val="659EBC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B1E398C"/>
    <w:multiLevelType w:val="multilevel"/>
    <w:tmpl w:val="C20CC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BC41D32"/>
    <w:multiLevelType w:val="multilevel"/>
    <w:tmpl w:val="7D583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CAB23D7"/>
    <w:multiLevelType w:val="multilevel"/>
    <w:tmpl w:val="245644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CF717D8"/>
    <w:multiLevelType w:val="hybridMultilevel"/>
    <w:tmpl w:val="2916978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4" w15:restartNumberingAfterBreak="0">
    <w:nsid w:val="3E3B0D38"/>
    <w:multiLevelType w:val="hybridMultilevel"/>
    <w:tmpl w:val="FE964B0E"/>
    <w:lvl w:ilvl="0" w:tplc="0A941850">
      <w:start w:val="1"/>
      <w:numFmt w:val="decimal"/>
      <w:lvlText w:val="%1-"/>
      <w:lvlJc w:val="left"/>
      <w:pPr>
        <w:ind w:left="36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F0866C3"/>
    <w:multiLevelType w:val="hybridMultilevel"/>
    <w:tmpl w:val="465476B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F206F5A"/>
    <w:multiLevelType w:val="hybridMultilevel"/>
    <w:tmpl w:val="ED94D5EE"/>
    <w:lvl w:ilvl="0" w:tplc="C7C6798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F8D48A5"/>
    <w:multiLevelType w:val="hybridMultilevel"/>
    <w:tmpl w:val="3E26B31E"/>
    <w:lvl w:ilvl="0" w:tplc="1ADCE58E">
      <w:start w:val="1"/>
      <w:numFmt w:val="bullet"/>
      <w:lvlText w:val="-"/>
      <w:lvlJc w:val="left"/>
      <w:pPr>
        <w:ind w:left="36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3F902854"/>
    <w:multiLevelType w:val="hybridMultilevel"/>
    <w:tmpl w:val="91645538"/>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9" w15:restartNumberingAfterBreak="0">
    <w:nsid w:val="3FAE2FCD"/>
    <w:multiLevelType w:val="hybridMultilevel"/>
    <w:tmpl w:val="B6C4F0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0094930"/>
    <w:multiLevelType w:val="hybridMultilevel"/>
    <w:tmpl w:val="D480B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0472E2E"/>
    <w:multiLevelType w:val="hybridMultilevel"/>
    <w:tmpl w:val="8E503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0594737"/>
    <w:multiLevelType w:val="hybridMultilevel"/>
    <w:tmpl w:val="11901860"/>
    <w:lvl w:ilvl="0" w:tplc="0052A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40D03B45"/>
    <w:multiLevelType w:val="multilevel"/>
    <w:tmpl w:val="EF0C4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10362CD"/>
    <w:multiLevelType w:val="hybridMultilevel"/>
    <w:tmpl w:val="BA56ED4E"/>
    <w:lvl w:ilvl="0" w:tplc="A186243E">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45" w15:restartNumberingAfterBreak="0">
    <w:nsid w:val="41356125"/>
    <w:multiLevelType w:val="hybridMultilevel"/>
    <w:tmpl w:val="52724CB4"/>
    <w:lvl w:ilvl="0" w:tplc="0FAEF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1A3395C"/>
    <w:multiLevelType w:val="hybridMultilevel"/>
    <w:tmpl w:val="72C67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41B15520"/>
    <w:multiLevelType w:val="hybridMultilevel"/>
    <w:tmpl w:val="8940F74A"/>
    <w:lvl w:ilvl="0" w:tplc="FFFFFFFF">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48" w15:restartNumberingAfterBreak="0">
    <w:nsid w:val="422962C2"/>
    <w:multiLevelType w:val="hybridMultilevel"/>
    <w:tmpl w:val="D444AC88"/>
    <w:lvl w:ilvl="0" w:tplc="040C0011">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49" w15:restartNumberingAfterBreak="0">
    <w:nsid w:val="42660472"/>
    <w:multiLevelType w:val="hybridMultilevel"/>
    <w:tmpl w:val="D780F8E4"/>
    <w:lvl w:ilvl="0" w:tplc="E4BA6E10">
      <w:start w:val="1"/>
      <w:numFmt w:val="decimal"/>
      <w:lvlText w:val="%1-"/>
      <w:lvlJc w:val="left"/>
      <w:pPr>
        <w:ind w:left="-24" w:hanging="360"/>
      </w:pPr>
      <w:rPr>
        <w:rFonts w:hint="default"/>
        <w:b/>
      </w:rPr>
    </w:lvl>
    <w:lvl w:ilvl="1" w:tplc="04090019" w:tentative="1">
      <w:start w:val="1"/>
      <w:numFmt w:val="lowerLetter"/>
      <w:lvlText w:val="%2."/>
      <w:lvlJc w:val="left"/>
      <w:pPr>
        <w:ind w:left="696" w:hanging="360"/>
      </w:pPr>
    </w:lvl>
    <w:lvl w:ilvl="2" w:tplc="0409001B" w:tentative="1">
      <w:start w:val="1"/>
      <w:numFmt w:val="lowerRoman"/>
      <w:lvlText w:val="%3."/>
      <w:lvlJc w:val="right"/>
      <w:pPr>
        <w:ind w:left="1416" w:hanging="180"/>
      </w:pPr>
    </w:lvl>
    <w:lvl w:ilvl="3" w:tplc="0409000F" w:tentative="1">
      <w:start w:val="1"/>
      <w:numFmt w:val="decimal"/>
      <w:lvlText w:val="%4."/>
      <w:lvlJc w:val="left"/>
      <w:pPr>
        <w:ind w:left="2136" w:hanging="360"/>
      </w:pPr>
    </w:lvl>
    <w:lvl w:ilvl="4" w:tplc="04090019" w:tentative="1">
      <w:start w:val="1"/>
      <w:numFmt w:val="lowerLetter"/>
      <w:lvlText w:val="%5."/>
      <w:lvlJc w:val="left"/>
      <w:pPr>
        <w:ind w:left="2856" w:hanging="360"/>
      </w:pPr>
    </w:lvl>
    <w:lvl w:ilvl="5" w:tplc="0409001B" w:tentative="1">
      <w:start w:val="1"/>
      <w:numFmt w:val="lowerRoman"/>
      <w:lvlText w:val="%6."/>
      <w:lvlJc w:val="right"/>
      <w:pPr>
        <w:ind w:left="3576" w:hanging="180"/>
      </w:pPr>
    </w:lvl>
    <w:lvl w:ilvl="6" w:tplc="0409000F" w:tentative="1">
      <w:start w:val="1"/>
      <w:numFmt w:val="decimal"/>
      <w:lvlText w:val="%7."/>
      <w:lvlJc w:val="left"/>
      <w:pPr>
        <w:ind w:left="4296" w:hanging="360"/>
      </w:pPr>
    </w:lvl>
    <w:lvl w:ilvl="7" w:tplc="04090019" w:tentative="1">
      <w:start w:val="1"/>
      <w:numFmt w:val="lowerLetter"/>
      <w:lvlText w:val="%8."/>
      <w:lvlJc w:val="left"/>
      <w:pPr>
        <w:ind w:left="5016" w:hanging="360"/>
      </w:pPr>
    </w:lvl>
    <w:lvl w:ilvl="8" w:tplc="0409001B" w:tentative="1">
      <w:start w:val="1"/>
      <w:numFmt w:val="lowerRoman"/>
      <w:lvlText w:val="%9."/>
      <w:lvlJc w:val="right"/>
      <w:pPr>
        <w:ind w:left="5736" w:hanging="180"/>
      </w:pPr>
    </w:lvl>
  </w:abstractNum>
  <w:abstractNum w:abstractNumId="150" w15:restartNumberingAfterBreak="0">
    <w:nsid w:val="42AE41F6"/>
    <w:multiLevelType w:val="hybridMultilevel"/>
    <w:tmpl w:val="866AF6D4"/>
    <w:lvl w:ilvl="0" w:tplc="D2E07D50">
      <w:start w:val="1"/>
      <w:numFmt w:val="decimal"/>
      <w:pStyle w:val="a"/>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1" w15:restartNumberingAfterBreak="0">
    <w:nsid w:val="42C713F8"/>
    <w:multiLevelType w:val="hybridMultilevel"/>
    <w:tmpl w:val="C5863BC2"/>
    <w:lvl w:ilvl="0" w:tplc="037AA698">
      <w:start w:val="1"/>
      <w:numFmt w:val="decimal"/>
      <w:lvlText w:val="%1-"/>
      <w:lvlJc w:val="left"/>
      <w:pPr>
        <w:ind w:left="360" w:hanging="360"/>
      </w:pPr>
      <w:rPr>
        <w:rFonts w:cs="Aria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2" w15:restartNumberingAfterBreak="0">
    <w:nsid w:val="430E3BD8"/>
    <w:multiLevelType w:val="multilevel"/>
    <w:tmpl w:val="C5C8F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32D5218"/>
    <w:multiLevelType w:val="multilevel"/>
    <w:tmpl w:val="447A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438512D1"/>
    <w:multiLevelType w:val="hybridMultilevel"/>
    <w:tmpl w:val="E2FEB51A"/>
    <w:lvl w:ilvl="0" w:tplc="A6D83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4123379"/>
    <w:multiLevelType w:val="hybridMultilevel"/>
    <w:tmpl w:val="A2C882E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41402BF"/>
    <w:multiLevelType w:val="multilevel"/>
    <w:tmpl w:val="212CE5DE"/>
    <w:lvl w:ilvl="0">
      <w:start w:val="1"/>
      <w:numFmt w:val="bullet"/>
      <w:lvlText w:val=""/>
      <w:lvlJc w:val="left"/>
      <w:pPr>
        <w:tabs>
          <w:tab w:val="num" w:pos="720"/>
        </w:tabs>
        <w:ind w:left="720" w:hanging="360"/>
      </w:pPr>
      <w:rPr>
        <w:rFonts w:ascii="Symbol" w:hAnsi="Symbol" w:hint="default"/>
        <w:sz w:val="20"/>
        <w:lang w:bidi="ar-M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4151B7A"/>
    <w:multiLevelType w:val="hybridMultilevel"/>
    <w:tmpl w:val="4ED83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43E4049"/>
    <w:multiLevelType w:val="hybridMultilevel"/>
    <w:tmpl w:val="8C0AE31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44714FF"/>
    <w:multiLevelType w:val="hybridMultilevel"/>
    <w:tmpl w:val="2BE2E28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4552E20"/>
    <w:multiLevelType w:val="multilevel"/>
    <w:tmpl w:val="C5C8F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4966AF2"/>
    <w:multiLevelType w:val="hybridMultilevel"/>
    <w:tmpl w:val="5CEEA0B6"/>
    <w:lvl w:ilvl="0" w:tplc="7512CE2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44B52819"/>
    <w:multiLevelType w:val="multilevel"/>
    <w:tmpl w:val="212C0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4BF242E"/>
    <w:multiLevelType w:val="hybridMultilevel"/>
    <w:tmpl w:val="A008CD08"/>
    <w:lvl w:ilvl="0" w:tplc="8D1E556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5CC62DD"/>
    <w:multiLevelType w:val="hybridMultilevel"/>
    <w:tmpl w:val="9B800E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45DC5091"/>
    <w:multiLevelType w:val="hybridMultilevel"/>
    <w:tmpl w:val="22D22E0E"/>
    <w:lvl w:ilvl="0" w:tplc="CF28CF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718342C"/>
    <w:multiLevelType w:val="hybridMultilevel"/>
    <w:tmpl w:val="7E0CF15C"/>
    <w:lvl w:ilvl="0" w:tplc="E5581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9254DE9"/>
    <w:multiLevelType w:val="hybridMultilevel"/>
    <w:tmpl w:val="877AF054"/>
    <w:lvl w:ilvl="0" w:tplc="04090001">
      <w:start w:val="1"/>
      <w:numFmt w:val="bullet"/>
      <w:lvlText w:val=""/>
      <w:lvlJc w:val="left"/>
      <w:pPr>
        <w:ind w:left="662" w:hanging="360"/>
      </w:pPr>
      <w:rPr>
        <w:rFonts w:ascii="Symbol" w:hAnsi="Symbo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168" w15:restartNumberingAfterBreak="0">
    <w:nsid w:val="495A5906"/>
    <w:multiLevelType w:val="multilevel"/>
    <w:tmpl w:val="064C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9DE7C90"/>
    <w:multiLevelType w:val="multilevel"/>
    <w:tmpl w:val="F510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A723495"/>
    <w:multiLevelType w:val="hybridMultilevel"/>
    <w:tmpl w:val="FD321ABE"/>
    <w:lvl w:ilvl="0" w:tplc="984AF8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AAD0597"/>
    <w:multiLevelType w:val="hybridMultilevel"/>
    <w:tmpl w:val="50D08B40"/>
    <w:lvl w:ilvl="0" w:tplc="B142B5EA">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2" w15:restartNumberingAfterBreak="0">
    <w:nsid w:val="4AD92724"/>
    <w:multiLevelType w:val="hybridMultilevel"/>
    <w:tmpl w:val="9E14F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BA52D65"/>
    <w:multiLevelType w:val="hybridMultilevel"/>
    <w:tmpl w:val="251AC5C0"/>
    <w:lvl w:ilvl="0" w:tplc="9488BB8C">
      <w:start w:val="26"/>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4C2209D5"/>
    <w:multiLevelType w:val="hybridMultilevel"/>
    <w:tmpl w:val="A6C2E9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4D0864A0"/>
    <w:multiLevelType w:val="hybridMultilevel"/>
    <w:tmpl w:val="46CED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D3A6DAA"/>
    <w:multiLevelType w:val="hybridMultilevel"/>
    <w:tmpl w:val="BDEA6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DC005EA"/>
    <w:multiLevelType w:val="multilevel"/>
    <w:tmpl w:val="29B2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E513D6D"/>
    <w:multiLevelType w:val="hybridMultilevel"/>
    <w:tmpl w:val="FD02E62C"/>
    <w:lvl w:ilvl="0" w:tplc="6406C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E67020D"/>
    <w:multiLevelType w:val="hybridMultilevel"/>
    <w:tmpl w:val="B49A0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EE8514D"/>
    <w:multiLevelType w:val="hybridMultilevel"/>
    <w:tmpl w:val="57B8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4EF148DA"/>
    <w:multiLevelType w:val="multilevel"/>
    <w:tmpl w:val="518A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F0549CD"/>
    <w:multiLevelType w:val="hybridMultilevel"/>
    <w:tmpl w:val="75DC0670"/>
    <w:lvl w:ilvl="0" w:tplc="782817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50867CD7"/>
    <w:multiLevelType w:val="hybridMultilevel"/>
    <w:tmpl w:val="0A8A99CC"/>
    <w:lvl w:ilvl="0" w:tplc="E36C337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5231680D"/>
    <w:multiLevelType w:val="hybridMultilevel"/>
    <w:tmpl w:val="2916978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5" w15:restartNumberingAfterBreak="0">
    <w:nsid w:val="52F42E5C"/>
    <w:multiLevelType w:val="hybridMultilevel"/>
    <w:tmpl w:val="7C485D52"/>
    <w:lvl w:ilvl="0" w:tplc="E5581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40E5FA7"/>
    <w:multiLevelType w:val="multilevel"/>
    <w:tmpl w:val="BA10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54285C9C"/>
    <w:multiLevelType w:val="hybridMultilevel"/>
    <w:tmpl w:val="1C844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4687144"/>
    <w:multiLevelType w:val="hybridMultilevel"/>
    <w:tmpl w:val="7FAC608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548D5D00"/>
    <w:multiLevelType w:val="hybridMultilevel"/>
    <w:tmpl w:val="2C6ECBB2"/>
    <w:lvl w:ilvl="0" w:tplc="9488BB8C">
      <w:start w:val="26"/>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54F92A4A"/>
    <w:multiLevelType w:val="multilevel"/>
    <w:tmpl w:val="4BD49710"/>
    <w:lvl w:ilvl="0">
      <w:start w:val="1"/>
      <w:numFmt w:val="decimal"/>
      <w:lvlText w:val="%1"/>
      <w:lvlJc w:val="left"/>
      <w:pPr>
        <w:ind w:left="390" w:hanging="39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1" w15:restartNumberingAfterBreak="0">
    <w:nsid w:val="55475436"/>
    <w:multiLevelType w:val="hybridMultilevel"/>
    <w:tmpl w:val="FECED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56E30CF"/>
    <w:multiLevelType w:val="multilevel"/>
    <w:tmpl w:val="7496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56251BBE"/>
    <w:multiLevelType w:val="multilevel"/>
    <w:tmpl w:val="DB6A0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64442BC"/>
    <w:multiLevelType w:val="hybridMultilevel"/>
    <w:tmpl w:val="A30EBC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564C68FD"/>
    <w:multiLevelType w:val="singleLevel"/>
    <w:tmpl w:val="0401000F"/>
    <w:lvl w:ilvl="0">
      <w:start w:val="1"/>
      <w:numFmt w:val="decimal"/>
      <w:lvlText w:val="%1."/>
      <w:lvlJc w:val="center"/>
      <w:pPr>
        <w:tabs>
          <w:tab w:val="num" w:pos="648"/>
        </w:tabs>
        <w:ind w:right="360" w:hanging="72"/>
      </w:pPr>
    </w:lvl>
  </w:abstractNum>
  <w:abstractNum w:abstractNumId="196" w15:restartNumberingAfterBreak="0">
    <w:nsid w:val="58417C22"/>
    <w:multiLevelType w:val="hybridMultilevel"/>
    <w:tmpl w:val="0C765802"/>
    <w:lvl w:ilvl="0" w:tplc="E5581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58655DBB"/>
    <w:multiLevelType w:val="hybridMultilevel"/>
    <w:tmpl w:val="51A208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58796FCF"/>
    <w:multiLevelType w:val="multilevel"/>
    <w:tmpl w:val="29BA0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8C11CCF"/>
    <w:multiLevelType w:val="multilevel"/>
    <w:tmpl w:val="AF8C11E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00" w15:restartNumberingAfterBreak="0">
    <w:nsid w:val="59166430"/>
    <w:multiLevelType w:val="hybridMultilevel"/>
    <w:tmpl w:val="D39824E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15:restartNumberingAfterBreak="0">
    <w:nsid w:val="592078EE"/>
    <w:multiLevelType w:val="hybridMultilevel"/>
    <w:tmpl w:val="6C6E4A96"/>
    <w:lvl w:ilvl="0" w:tplc="12AE0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B132275"/>
    <w:multiLevelType w:val="hybridMultilevel"/>
    <w:tmpl w:val="8454088C"/>
    <w:lvl w:ilvl="0" w:tplc="5914AB7A">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3" w15:restartNumberingAfterBreak="0">
    <w:nsid w:val="5B4779DC"/>
    <w:multiLevelType w:val="hybridMultilevel"/>
    <w:tmpl w:val="F96AF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C033471"/>
    <w:multiLevelType w:val="hybridMultilevel"/>
    <w:tmpl w:val="15A6FC92"/>
    <w:lvl w:ilvl="0" w:tplc="10F858E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E1A63E8"/>
    <w:multiLevelType w:val="singleLevel"/>
    <w:tmpl w:val="FAE83DF2"/>
    <w:lvl w:ilvl="0">
      <w:start w:val="1"/>
      <w:numFmt w:val="decimal"/>
      <w:lvlText w:val="%1."/>
      <w:lvlJc w:val="left"/>
      <w:pPr>
        <w:tabs>
          <w:tab w:val="num" w:pos="501"/>
        </w:tabs>
        <w:ind w:left="501" w:hanging="360"/>
      </w:pPr>
      <w:rPr>
        <w:rFonts w:hint="default"/>
      </w:rPr>
    </w:lvl>
  </w:abstractNum>
  <w:abstractNum w:abstractNumId="206" w15:restartNumberingAfterBreak="0">
    <w:nsid w:val="5E954F44"/>
    <w:multiLevelType w:val="hybridMultilevel"/>
    <w:tmpl w:val="9CEA63F0"/>
    <w:lvl w:ilvl="0" w:tplc="29307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EF76216"/>
    <w:multiLevelType w:val="hybridMultilevel"/>
    <w:tmpl w:val="50E0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F866DF3"/>
    <w:multiLevelType w:val="hybridMultilevel"/>
    <w:tmpl w:val="AA5AD9AE"/>
    <w:lvl w:ilvl="0" w:tplc="BE2AC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5F9D51FE"/>
    <w:multiLevelType w:val="hybridMultilevel"/>
    <w:tmpl w:val="B9823A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603D5789"/>
    <w:multiLevelType w:val="hybridMultilevel"/>
    <w:tmpl w:val="9DE617F4"/>
    <w:lvl w:ilvl="0" w:tplc="AB72E2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1" w15:restartNumberingAfterBreak="0">
    <w:nsid w:val="621178B3"/>
    <w:multiLevelType w:val="hybridMultilevel"/>
    <w:tmpl w:val="1A9AE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62407733"/>
    <w:multiLevelType w:val="hybridMultilevel"/>
    <w:tmpl w:val="B6C4F0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62511208"/>
    <w:multiLevelType w:val="hybridMultilevel"/>
    <w:tmpl w:val="D1369E5A"/>
    <w:lvl w:ilvl="0" w:tplc="0409000F">
      <w:start w:val="1"/>
      <w:numFmt w:val="decimal"/>
      <w:lvlText w:val="%1."/>
      <w:lvlJc w:val="left"/>
      <w:pPr>
        <w:ind w:left="856" w:hanging="360"/>
      </w:pPr>
    </w:lvl>
    <w:lvl w:ilvl="1" w:tplc="04090019" w:tentative="1">
      <w:start w:val="1"/>
      <w:numFmt w:val="lowerLetter"/>
      <w:lvlText w:val="%2."/>
      <w:lvlJc w:val="left"/>
      <w:pPr>
        <w:ind w:left="1576" w:hanging="360"/>
      </w:pPr>
    </w:lvl>
    <w:lvl w:ilvl="2" w:tplc="0409001B" w:tentative="1">
      <w:start w:val="1"/>
      <w:numFmt w:val="lowerRoman"/>
      <w:lvlText w:val="%3."/>
      <w:lvlJc w:val="right"/>
      <w:pPr>
        <w:ind w:left="2296" w:hanging="180"/>
      </w:pPr>
    </w:lvl>
    <w:lvl w:ilvl="3" w:tplc="0409000F" w:tentative="1">
      <w:start w:val="1"/>
      <w:numFmt w:val="decimal"/>
      <w:lvlText w:val="%4."/>
      <w:lvlJc w:val="left"/>
      <w:pPr>
        <w:ind w:left="3016" w:hanging="360"/>
      </w:pPr>
    </w:lvl>
    <w:lvl w:ilvl="4" w:tplc="04090019" w:tentative="1">
      <w:start w:val="1"/>
      <w:numFmt w:val="lowerLetter"/>
      <w:lvlText w:val="%5."/>
      <w:lvlJc w:val="left"/>
      <w:pPr>
        <w:ind w:left="3736" w:hanging="360"/>
      </w:pPr>
    </w:lvl>
    <w:lvl w:ilvl="5" w:tplc="0409001B" w:tentative="1">
      <w:start w:val="1"/>
      <w:numFmt w:val="lowerRoman"/>
      <w:lvlText w:val="%6."/>
      <w:lvlJc w:val="right"/>
      <w:pPr>
        <w:ind w:left="4456" w:hanging="180"/>
      </w:pPr>
    </w:lvl>
    <w:lvl w:ilvl="6" w:tplc="0409000F" w:tentative="1">
      <w:start w:val="1"/>
      <w:numFmt w:val="decimal"/>
      <w:lvlText w:val="%7."/>
      <w:lvlJc w:val="left"/>
      <w:pPr>
        <w:ind w:left="5176" w:hanging="360"/>
      </w:pPr>
    </w:lvl>
    <w:lvl w:ilvl="7" w:tplc="04090019" w:tentative="1">
      <w:start w:val="1"/>
      <w:numFmt w:val="lowerLetter"/>
      <w:lvlText w:val="%8."/>
      <w:lvlJc w:val="left"/>
      <w:pPr>
        <w:ind w:left="5896" w:hanging="360"/>
      </w:pPr>
    </w:lvl>
    <w:lvl w:ilvl="8" w:tplc="0409001B" w:tentative="1">
      <w:start w:val="1"/>
      <w:numFmt w:val="lowerRoman"/>
      <w:lvlText w:val="%9."/>
      <w:lvlJc w:val="right"/>
      <w:pPr>
        <w:ind w:left="6616" w:hanging="180"/>
      </w:pPr>
    </w:lvl>
  </w:abstractNum>
  <w:abstractNum w:abstractNumId="214" w15:restartNumberingAfterBreak="0">
    <w:nsid w:val="63450D6B"/>
    <w:multiLevelType w:val="multilevel"/>
    <w:tmpl w:val="C74C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3B26415"/>
    <w:multiLevelType w:val="hybridMultilevel"/>
    <w:tmpl w:val="93409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3F27D4F"/>
    <w:multiLevelType w:val="hybridMultilevel"/>
    <w:tmpl w:val="E996A4B8"/>
    <w:lvl w:ilvl="0" w:tplc="DA5EE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64236381"/>
    <w:multiLevelType w:val="hybridMultilevel"/>
    <w:tmpl w:val="4C5CD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64E917DB"/>
    <w:multiLevelType w:val="hybridMultilevel"/>
    <w:tmpl w:val="42A65484"/>
    <w:lvl w:ilvl="0" w:tplc="6066A012">
      <w:start w:val="1"/>
      <w:numFmt w:val="decimal"/>
      <w:lvlText w:val="%1-"/>
      <w:lvlJc w:val="left"/>
      <w:pPr>
        <w:ind w:left="720" w:hanging="360"/>
      </w:pPr>
      <w:rPr>
        <w:rFonts w:eastAsia="Times New Roman" w:hint="default"/>
        <w:b/>
        <w:color w:val="333333"/>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654D7EEC"/>
    <w:multiLevelType w:val="multilevel"/>
    <w:tmpl w:val="D5082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5DE4A89"/>
    <w:multiLevelType w:val="multilevel"/>
    <w:tmpl w:val="6E82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7057C76"/>
    <w:multiLevelType w:val="hybridMultilevel"/>
    <w:tmpl w:val="DFBCA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68596551"/>
    <w:multiLevelType w:val="hybridMultilevel"/>
    <w:tmpl w:val="12548032"/>
    <w:lvl w:ilvl="0" w:tplc="47A02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68717E7E"/>
    <w:multiLevelType w:val="multilevel"/>
    <w:tmpl w:val="D8DA9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69A76A1D"/>
    <w:multiLevelType w:val="hybridMultilevel"/>
    <w:tmpl w:val="5E86BF5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5" w15:restartNumberingAfterBreak="0">
    <w:nsid w:val="6A422CC3"/>
    <w:multiLevelType w:val="hybridMultilevel"/>
    <w:tmpl w:val="FF4CA05C"/>
    <w:lvl w:ilvl="0" w:tplc="98E06DD0">
      <w:start w:val="1"/>
      <w:numFmt w:val="decimal"/>
      <w:lvlText w:val="%1-"/>
      <w:lvlJc w:val="left"/>
      <w:pPr>
        <w:ind w:left="540" w:hanging="360"/>
      </w:pPr>
      <w:rPr>
        <w:rFonts w:asciiTheme="minorHAnsi" w:eastAsiaTheme="minorHAnsi" w:hAnsiTheme="minorHAnsi" w:cs="Arial"/>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6" w15:restartNumberingAfterBreak="0">
    <w:nsid w:val="6C2B0872"/>
    <w:multiLevelType w:val="hybridMultilevel"/>
    <w:tmpl w:val="3E6C097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6D4D7F03"/>
    <w:multiLevelType w:val="hybridMultilevel"/>
    <w:tmpl w:val="2916978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8" w15:restartNumberingAfterBreak="0">
    <w:nsid w:val="6DB170E8"/>
    <w:multiLevelType w:val="hybridMultilevel"/>
    <w:tmpl w:val="85EAFA6C"/>
    <w:lvl w:ilvl="0" w:tplc="31F26F0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9" w15:restartNumberingAfterBreak="0">
    <w:nsid w:val="6E0A3BE8"/>
    <w:multiLevelType w:val="hybridMultilevel"/>
    <w:tmpl w:val="CE3C7236"/>
    <w:lvl w:ilvl="0" w:tplc="0409000F">
      <w:start w:val="1"/>
      <w:numFmt w:val="decimal"/>
      <w:lvlText w:val="%1."/>
      <w:lvlJc w:val="left"/>
      <w:pPr>
        <w:ind w:left="284" w:hanging="360"/>
      </w:p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230" w15:restartNumberingAfterBreak="0">
    <w:nsid w:val="6F8B083B"/>
    <w:multiLevelType w:val="multilevel"/>
    <w:tmpl w:val="D740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0135832"/>
    <w:multiLevelType w:val="multilevel"/>
    <w:tmpl w:val="90520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70C74A04"/>
    <w:multiLevelType w:val="multilevel"/>
    <w:tmpl w:val="6F742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71B8743E"/>
    <w:multiLevelType w:val="hybridMultilevel"/>
    <w:tmpl w:val="8CB23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73624B0B"/>
    <w:multiLevelType w:val="multilevel"/>
    <w:tmpl w:val="659A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3AD7B98"/>
    <w:multiLevelType w:val="multilevel"/>
    <w:tmpl w:val="8BF4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73E579BF"/>
    <w:multiLevelType w:val="hybridMultilevel"/>
    <w:tmpl w:val="51D26A4A"/>
    <w:lvl w:ilvl="0" w:tplc="14207E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7" w15:restartNumberingAfterBreak="0">
    <w:nsid w:val="73FB398A"/>
    <w:multiLevelType w:val="hybridMultilevel"/>
    <w:tmpl w:val="576C389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38" w15:restartNumberingAfterBreak="0">
    <w:nsid w:val="740D6E74"/>
    <w:multiLevelType w:val="multilevel"/>
    <w:tmpl w:val="56CC2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59E7781"/>
    <w:multiLevelType w:val="hybridMultilevel"/>
    <w:tmpl w:val="CC9CF284"/>
    <w:lvl w:ilvl="0" w:tplc="38FC8CCE">
      <w:start w:val="1"/>
      <w:numFmt w:val="decimal"/>
      <w:lvlText w:val="%1."/>
      <w:lvlJc w:val="left"/>
      <w:pPr>
        <w:ind w:left="1080" w:hanging="360"/>
      </w:pPr>
      <w:rPr>
        <w:rFonts w:asciiTheme="minorBidi" w:eastAsia="SimSun" w:hAnsiTheme="minorBid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0" w15:restartNumberingAfterBreak="0">
    <w:nsid w:val="768529A5"/>
    <w:multiLevelType w:val="hybridMultilevel"/>
    <w:tmpl w:val="184A0E9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76B96CE8"/>
    <w:multiLevelType w:val="hybridMultilevel"/>
    <w:tmpl w:val="82DA7A0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773B5584"/>
    <w:multiLevelType w:val="hybridMultilevel"/>
    <w:tmpl w:val="E48C8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78261C44"/>
    <w:multiLevelType w:val="hybridMultilevel"/>
    <w:tmpl w:val="0770ACC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4" w15:restartNumberingAfterBreak="0">
    <w:nsid w:val="78900C29"/>
    <w:multiLevelType w:val="multilevel"/>
    <w:tmpl w:val="7BAA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9B144A7"/>
    <w:multiLevelType w:val="multilevel"/>
    <w:tmpl w:val="15907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7A1B33D8"/>
    <w:multiLevelType w:val="hybridMultilevel"/>
    <w:tmpl w:val="6C86B04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47" w15:restartNumberingAfterBreak="0">
    <w:nsid w:val="7ACE155B"/>
    <w:multiLevelType w:val="hybridMultilevel"/>
    <w:tmpl w:val="CEE607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8" w15:restartNumberingAfterBreak="0">
    <w:nsid w:val="7B525367"/>
    <w:multiLevelType w:val="hybridMultilevel"/>
    <w:tmpl w:val="D5A24104"/>
    <w:lvl w:ilvl="0" w:tplc="103E560E">
      <w:numFmt w:val="bullet"/>
      <w:lvlText w:val="-"/>
      <w:lvlJc w:val="left"/>
      <w:pPr>
        <w:ind w:left="1080" w:hanging="360"/>
      </w:pPr>
      <w:rPr>
        <w:rFonts w:ascii="Unikurd Goran" w:eastAsiaTheme="minorHAnsi" w:hAnsi="Unikurd Goran" w:cs="Unikurd Goran" w:hint="default"/>
        <w:b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9" w15:restartNumberingAfterBreak="0">
    <w:nsid w:val="7B7F7B23"/>
    <w:multiLevelType w:val="hybridMultilevel"/>
    <w:tmpl w:val="A5F2C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C145212"/>
    <w:multiLevelType w:val="hybridMultilevel"/>
    <w:tmpl w:val="E6C48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7C576EF1"/>
    <w:multiLevelType w:val="hybridMultilevel"/>
    <w:tmpl w:val="B238A0E8"/>
    <w:lvl w:ilvl="0" w:tplc="E5581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7CA76A3A"/>
    <w:multiLevelType w:val="hybridMultilevel"/>
    <w:tmpl w:val="FCA6F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7CC97532"/>
    <w:multiLevelType w:val="hybridMultilevel"/>
    <w:tmpl w:val="2916978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4" w15:restartNumberingAfterBreak="0">
    <w:nsid w:val="7D3A7387"/>
    <w:multiLevelType w:val="hybridMultilevel"/>
    <w:tmpl w:val="CA801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7D741BB1"/>
    <w:multiLevelType w:val="multilevel"/>
    <w:tmpl w:val="FDF6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DBC6228"/>
    <w:multiLevelType w:val="multilevel"/>
    <w:tmpl w:val="C6E82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7E7533BD"/>
    <w:multiLevelType w:val="singleLevel"/>
    <w:tmpl w:val="0409000F"/>
    <w:lvl w:ilvl="0">
      <w:start w:val="1"/>
      <w:numFmt w:val="decimal"/>
      <w:lvlText w:val="%1."/>
      <w:lvlJc w:val="left"/>
      <w:pPr>
        <w:ind w:left="786" w:hanging="360"/>
      </w:pPr>
    </w:lvl>
  </w:abstractNum>
  <w:abstractNum w:abstractNumId="258" w15:restartNumberingAfterBreak="0">
    <w:nsid w:val="7F1E7BA6"/>
    <w:multiLevelType w:val="hybridMultilevel"/>
    <w:tmpl w:val="B9BA8EF0"/>
    <w:lvl w:ilvl="0" w:tplc="5350AE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7F717826"/>
    <w:multiLevelType w:val="multilevel"/>
    <w:tmpl w:val="C5C8F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7F7F02E9"/>
    <w:multiLevelType w:val="hybridMultilevel"/>
    <w:tmpl w:val="A3B4A5BA"/>
    <w:lvl w:ilvl="0" w:tplc="38FC8CCE">
      <w:start w:val="1"/>
      <w:numFmt w:val="decimal"/>
      <w:lvlText w:val="%1."/>
      <w:lvlJc w:val="left"/>
      <w:pPr>
        <w:ind w:left="1080" w:hanging="360"/>
      </w:pPr>
      <w:rPr>
        <w:rFonts w:asciiTheme="minorBidi" w:eastAsia="SimSun" w:hAnsiTheme="minorBid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1" w15:restartNumberingAfterBreak="0">
    <w:nsid w:val="7FE2480B"/>
    <w:multiLevelType w:val="hybridMultilevel"/>
    <w:tmpl w:val="0D781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9858189">
    <w:abstractNumId w:val="150"/>
  </w:num>
  <w:num w:numId="2" w16cid:durableId="1890266593">
    <w:abstractNumId w:val="86"/>
  </w:num>
  <w:num w:numId="3" w16cid:durableId="1876186498">
    <w:abstractNumId w:val="136"/>
  </w:num>
  <w:num w:numId="4" w16cid:durableId="1699627161">
    <w:abstractNumId w:val="203"/>
  </w:num>
  <w:num w:numId="5" w16cid:durableId="1078945651">
    <w:abstractNumId w:val="179"/>
  </w:num>
  <w:num w:numId="6" w16cid:durableId="384764786">
    <w:abstractNumId w:val="184"/>
  </w:num>
  <w:num w:numId="7" w16cid:durableId="122312668">
    <w:abstractNumId w:val="253"/>
  </w:num>
  <w:num w:numId="8" w16cid:durableId="1389642636">
    <w:abstractNumId w:val="227"/>
  </w:num>
  <w:num w:numId="9" w16cid:durableId="504563987">
    <w:abstractNumId w:val="50"/>
  </w:num>
  <w:num w:numId="10" w16cid:durableId="403842120">
    <w:abstractNumId w:val="133"/>
  </w:num>
  <w:num w:numId="11" w16cid:durableId="395321778">
    <w:abstractNumId w:val="16"/>
  </w:num>
  <w:num w:numId="12" w16cid:durableId="216473441">
    <w:abstractNumId w:val="210"/>
  </w:num>
  <w:num w:numId="13" w16cid:durableId="1104570733">
    <w:abstractNumId w:val="102"/>
  </w:num>
  <w:num w:numId="14" w16cid:durableId="610434853">
    <w:abstractNumId w:val="69"/>
  </w:num>
  <w:num w:numId="15" w16cid:durableId="534539655">
    <w:abstractNumId w:val="190"/>
  </w:num>
  <w:num w:numId="16" w16cid:durableId="1559903883">
    <w:abstractNumId w:val="248"/>
  </w:num>
  <w:num w:numId="17" w16cid:durableId="1119493851">
    <w:abstractNumId w:val="63"/>
  </w:num>
  <w:num w:numId="18" w16cid:durableId="1967348559">
    <w:abstractNumId w:val="55"/>
  </w:num>
  <w:num w:numId="19" w16cid:durableId="1211501112">
    <w:abstractNumId w:val="67"/>
  </w:num>
  <w:num w:numId="20" w16cid:durableId="1968318264">
    <w:abstractNumId w:val="127"/>
  </w:num>
  <w:num w:numId="21" w16cid:durableId="2003196129">
    <w:abstractNumId w:val="139"/>
  </w:num>
  <w:num w:numId="22" w16cid:durableId="598179006">
    <w:abstractNumId w:val="212"/>
  </w:num>
  <w:num w:numId="23" w16cid:durableId="568461223">
    <w:abstractNumId w:val="8"/>
  </w:num>
  <w:num w:numId="24" w16cid:durableId="58286086">
    <w:abstractNumId w:val="209"/>
  </w:num>
  <w:num w:numId="25" w16cid:durableId="1236941554">
    <w:abstractNumId w:val="110"/>
  </w:num>
  <w:num w:numId="26" w16cid:durableId="1538154994">
    <w:abstractNumId w:val="45"/>
  </w:num>
  <w:num w:numId="27" w16cid:durableId="1799375503">
    <w:abstractNumId w:val="201"/>
  </w:num>
  <w:num w:numId="28" w16cid:durableId="412242987">
    <w:abstractNumId w:val="218"/>
  </w:num>
  <w:num w:numId="29" w16cid:durableId="1654866829">
    <w:abstractNumId w:val="35"/>
  </w:num>
  <w:num w:numId="30" w16cid:durableId="796484895">
    <w:abstractNumId w:val="51"/>
  </w:num>
  <w:num w:numId="31" w16cid:durableId="1268612327">
    <w:abstractNumId w:val="221"/>
  </w:num>
  <w:num w:numId="32" w16cid:durableId="202251259">
    <w:abstractNumId w:val="257"/>
  </w:num>
  <w:num w:numId="33" w16cid:durableId="1084763810">
    <w:abstractNumId w:val="66"/>
  </w:num>
  <w:num w:numId="34" w16cid:durableId="256015614">
    <w:abstractNumId w:val="194"/>
  </w:num>
  <w:num w:numId="35" w16cid:durableId="1507204311">
    <w:abstractNumId w:val="167"/>
  </w:num>
  <w:num w:numId="36" w16cid:durableId="1909531418">
    <w:abstractNumId w:val="74"/>
  </w:num>
  <w:num w:numId="37" w16cid:durableId="1478574322">
    <w:abstractNumId w:val="249"/>
  </w:num>
  <w:num w:numId="38" w16cid:durableId="1957103508">
    <w:abstractNumId w:val="202"/>
  </w:num>
  <w:num w:numId="39" w16cid:durableId="188421640">
    <w:abstractNumId w:val="195"/>
  </w:num>
  <w:num w:numId="40" w16cid:durableId="487940893">
    <w:abstractNumId w:val="205"/>
  </w:num>
  <w:num w:numId="41" w16cid:durableId="2130851037">
    <w:abstractNumId w:val="129"/>
  </w:num>
  <w:num w:numId="42" w16cid:durableId="130908110">
    <w:abstractNumId w:val="23"/>
  </w:num>
  <w:num w:numId="43" w16cid:durableId="1795053482">
    <w:abstractNumId w:val="142"/>
  </w:num>
  <w:num w:numId="44" w16cid:durableId="364596951">
    <w:abstractNumId w:val="159"/>
  </w:num>
  <w:num w:numId="45" w16cid:durableId="211431316">
    <w:abstractNumId w:val="25"/>
  </w:num>
  <w:num w:numId="46" w16cid:durableId="653527525">
    <w:abstractNumId w:val="121"/>
  </w:num>
  <w:num w:numId="47" w16cid:durableId="521286894">
    <w:abstractNumId w:val="76"/>
  </w:num>
  <w:num w:numId="48" w16cid:durableId="268582512">
    <w:abstractNumId w:val="17"/>
  </w:num>
  <w:num w:numId="49" w16cid:durableId="385299786">
    <w:abstractNumId w:val="6"/>
  </w:num>
  <w:num w:numId="50" w16cid:durableId="765729326">
    <w:abstractNumId w:val="7"/>
  </w:num>
  <w:num w:numId="51" w16cid:durableId="450174293">
    <w:abstractNumId w:val="37"/>
  </w:num>
  <w:num w:numId="52" w16cid:durableId="2112428928">
    <w:abstractNumId w:val="32"/>
  </w:num>
  <w:num w:numId="53" w16cid:durableId="1930843041">
    <w:abstractNumId w:val="137"/>
  </w:num>
  <w:num w:numId="54" w16cid:durableId="276647160">
    <w:abstractNumId w:val="152"/>
  </w:num>
  <w:num w:numId="55" w16cid:durableId="949321141">
    <w:abstractNumId w:val="40"/>
  </w:num>
  <w:num w:numId="56" w16cid:durableId="575551892">
    <w:abstractNumId w:val="259"/>
  </w:num>
  <w:num w:numId="57" w16cid:durableId="966933032">
    <w:abstractNumId w:val="160"/>
  </w:num>
  <w:num w:numId="58" w16cid:durableId="480974063">
    <w:abstractNumId w:val="87"/>
  </w:num>
  <w:num w:numId="59" w16cid:durableId="1406951448">
    <w:abstractNumId w:val="157"/>
  </w:num>
  <w:num w:numId="60" w16cid:durableId="1264655218">
    <w:abstractNumId w:val="206"/>
  </w:num>
  <w:num w:numId="61" w16cid:durableId="1824345784">
    <w:abstractNumId w:val="123"/>
  </w:num>
  <w:num w:numId="62" w16cid:durableId="1949238712">
    <w:abstractNumId w:val="191"/>
  </w:num>
  <w:num w:numId="63" w16cid:durableId="825634238">
    <w:abstractNumId w:val="122"/>
  </w:num>
  <w:num w:numId="64" w16cid:durableId="2051296252">
    <w:abstractNumId w:val="261"/>
  </w:num>
  <w:num w:numId="65" w16cid:durableId="1538929357">
    <w:abstractNumId w:val="46"/>
  </w:num>
  <w:num w:numId="66" w16cid:durableId="856626624">
    <w:abstractNumId w:val="128"/>
  </w:num>
  <w:num w:numId="67" w16cid:durableId="1502039903">
    <w:abstractNumId w:val="116"/>
  </w:num>
  <w:num w:numId="68" w16cid:durableId="778641598">
    <w:abstractNumId w:val="234"/>
  </w:num>
  <w:num w:numId="69" w16cid:durableId="616909931">
    <w:abstractNumId w:val="236"/>
  </w:num>
  <w:num w:numId="70" w16cid:durableId="172569136">
    <w:abstractNumId w:val="113"/>
  </w:num>
  <w:num w:numId="71" w16cid:durableId="1057702043">
    <w:abstractNumId w:val="222"/>
  </w:num>
  <w:num w:numId="72" w16cid:durableId="308705239">
    <w:abstractNumId w:val="147"/>
  </w:num>
  <w:num w:numId="73" w16cid:durableId="1970738540">
    <w:abstractNumId w:val="82"/>
  </w:num>
  <w:num w:numId="74" w16cid:durableId="1534537137">
    <w:abstractNumId w:val="200"/>
  </w:num>
  <w:num w:numId="75" w16cid:durableId="1137145539">
    <w:abstractNumId w:val="12"/>
  </w:num>
  <w:num w:numId="76" w16cid:durableId="644966548">
    <w:abstractNumId w:val="229"/>
  </w:num>
  <w:num w:numId="77" w16cid:durableId="362637043">
    <w:abstractNumId w:val="88"/>
  </w:num>
  <w:num w:numId="78" w16cid:durableId="186601171">
    <w:abstractNumId w:val="96"/>
  </w:num>
  <w:num w:numId="79" w16cid:durableId="745028750">
    <w:abstractNumId w:val="149"/>
  </w:num>
  <w:num w:numId="80" w16cid:durableId="2064594812">
    <w:abstractNumId w:val="70"/>
  </w:num>
  <w:num w:numId="81" w16cid:durableId="1334913578">
    <w:abstractNumId w:val="138"/>
  </w:num>
  <w:num w:numId="82" w16cid:durableId="1765564988">
    <w:abstractNumId w:val="83"/>
  </w:num>
  <w:num w:numId="83" w16cid:durableId="26374244">
    <w:abstractNumId w:val="15"/>
  </w:num>
  <w:num w:numId="84" w16cid:durableId="979336729">
    <w:abstractNumId w:val="112"/>
  </w:num>
  <w:num w:numId="85" w16cid:durableId="1748722252">
    <w:abstractNumId w:val="176"/>
  </w:num>
  <w:num w:numId="86" w16cid:durableId="507519906">
    <w:abstractNumId w:val="38"/>
  </w:num>
  <w:num w:numId="87" w16cid:durableId="3284549">
    <w:abstractNumId w:val="217"/>
  </w:num>
  <w:num w:numId="88" w16cid:durableId="2091147643">
    <w:abstractNumId w:val="118"/>
  </w:num>
  <w:num w:numId="89" w16cid:durableId="1310817617">
    <w:abstractNumId w:val="77"/>
  </w:num>
  <w:num w:numId="90" w16cid:durableId="1604142542">
    <w:abstractNumId w:val="252"/>
  </w:num>
  <w:num w:numId="91" w16cid:durableId="1016422939">
    <w:abstractNumId w:val="170"/>
  </w:num>
  <w:num w:numId="92" w16cid:durableId="1771967437">
    <w:abstractNumId w:val="213"/>
  </w:num>
  <w:num w:numId="93" w16cid:durableId="1205362870">
    <w:abstractNumId w:val="207"/>
  </w:num>
  <w:num w:numId="94" w16cid:durableId="789124542">
    <w:abstractNumId w:val="141"/>
  </w:num>
  <w:num w:numId="95" w16cid:durableId="1472795946">
    <w:abstractNumId w:val="109"/>
  </w:num>
  <w:num w:numId="96" w16cid:durableId="438643129">
    <w:abstractNumId w:val="174"/>
  </w:num>
  <w:num w:numId="97" w16cid:durableId="1873297564">
    <w:abstractNumId w:val="225"/>
  </w:num>
  <w:num w:numId="98" w16cid:durableId="866912399">
    <w:abstractNumId w:val="134"/>
  </w:num>
  <w:num w:numId="99" w16cid:durableId="1926113057">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46716292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80186543">
    <w:abstractNumId w:val="84"/>
  </w:num>
  <w:num w:numId="102" w16cid:durableId="103893069">
    <w:abstractNumId w:val="183"/>
  </w:num>
  <w:num w:numId="103" w16cid:durableId="931619915">
    <w:abstractNumId w:val="144"/>
  </w:num>
  <w:num w:numId="104" w16cid:durableId="1543133209">
    <w:abstractNumId w:val="199"/>
  </w:num>
  <w:num w:numId="105" w16cid:durableId="1986160969">
    <w:abstractNumId w:val="33"/>
  </w:num>
  <w:num w:numId="106" w16cid:durableId="1449204993">
    <w:abstractNumId w:val="34"/>
  </w:num>
  <w:num w:numId="107" w16cid:durableId="84693115">
    <w:abstractNumId w:val="30"/>
  </w:num>
  <w:num w:numId="108" w16cid:durableId="172846070">
    <w:abstractNumId w:val="31"/>
  </w:num>
  <w:num w:numId="109" w16cid:durableId="642278643">
    <w:abstractNumId w:val="71"/>
  </w:num>
  <w:num w:numId="110" w16cid:durableId="782577904">
    <w:abstractNumId w:val="228"/>
  </w:num>
  <w:num w:numId="111" w16cid:durableId="1718164738">
    <w:abstractNumId w:val="43"/>
  </w:num>
  <w:num w:numId="112" w16cid:durableId="141585803">
    <w:abstractNumId w:val="178"/>
  </w:num>
  <w:num w:numId="113" w16cid:durableId="1777284905">
    <w:abstractNumId w:val="216"/>
  </w:num>
  <w:num w:numId="114" w16cid:durableId="1408267808">
    <w:abstractNumId w:val="68"/>
  </w:num>
  <w:num w:numId="115" w16cid:durableId="968130420">
    <w:abstractNumId w:val="232"/>
  </w:num>
  <w:num w:numId="116" w16cid:durableId="357580925">
    <w:abstractNumId w:val="161"/>
  </w:num>
  <w:num w:numId="117" w16cid:durableId="1355496131">
    <w:abstractNumId w:val="230"/>
  </w:num>
  <w:num w:numId="118" w16cid:durableId="1360005122">
    <w:abstractNumId w:val="91"/>
  </w:num>
  <w:num w:numId="119" w16cid:durableId="203444134">
    <w:abstractNumId w:val="78"/>
  </w:num>
  <w:num w:numId="120" w16cid:durableId="518273361">
    <w:abstractNumId w:val="132"/>
  </w:num>
  <w:num w:numId="121" w16cid:durableId="2038575593">
    <w:abstractNumId w:val="208"/>
  </w:num>
  <w:num w:numId="122" w16cid:durableId="1330401498">
    <w:abstractNumId w:val="75"/>
  </w:num>
  <w:num w:numId="123" w16cid:durableId="1007556436">
    <w:abstractNumId w:val="107"/>
  </w:num>
  <w:num w:numId="124" w16cid:durableId="718674519">
    <w:abstractNumId w:val="163"/>
  </w:num>
  <w:num w:numId="125" w16cid:durableId="2123722799">
    <w:abstractNumId w:val="21"/>
  </w:num>
  <w:num w:numId="126" w16cid:durableId="1532182570">
    <w:abstractNumId w:val="27"/>
  </w:num>
  <w:num w:numId="127" w16cid:durableId="349380561">
    <w:abstractNumId w:val="180"/>
  </w:num>
  <w:num w:numId="128" w16cid:durableId="1255937733">
    <w:abstractNumId w:val="241"/>
  </w:num>
  <w:num w:numId="129" w16cid:durableId="339816284">
    <w:abstractNumId w:val="135"/>
  </w:num>
  <w:num w:numId="130" w16cid:durableId="1692607063">
    <w:abstractNumId w:val="240"/>
  </w:num>
  <w:num w:numId="131" w16cid:durableId="1679043961">
    <w:abstractNumId w:val="158"/>
  </w:num>
  <w:num w:numId="132" w16cid:durableId="631717470">
    <w:abstractNumId w:val="73"/>
  </w:num>
  <w:num w:numId="133" w16cid:durableId="690961282">
    <w:abstractNumId w:val="226"/>
  </w:num>
  <w:num w:numId="134" w16cid:durableId="398333448">
    <w:abstractNumId w:val="126"/>
  </w:num>
  <w:num w:numId="135" w16cid:durableId="2094547836">
    <w:abstractNumId w:val="188"/>
  </w:num>
  <w:num w:numId="136" w16cid:durableId="2147354091">
    <w:abstractNumId w:val="81"/>
  </w:num>
  <w:num w:numId="137" w16cid:durableId="1269703138">
    <w:abstractNumId w:val="211"/>
  </w:num>
  <w:num w:numId="138" w16cid:durableId="1929193785">
    <w:abstractNumId w:val="94"/>
  </w:num>
  <w:num w:numId="139" w16cid:durableId="1714385426">
    <w:abstractNumId w:val="155"/>
  </w:num>
  <w:num w:numId="140" w16cid:durableId="783227552">
    <w:abstractNumId w:val="92"/>
  </w:num>
  <w:num w:numId="141" w16cid:durableId="988903045">
    <w:abstractNumId w:val="97"/>
  </w:num>
  <w:num w:numId="142" w16cid:durableId="394593802">
    <w:abstractNumId w:val="242"/>
  </w:num>
  <w:num w:numId="143" w16cid:durableId="1896039474">
    <w:abstractNumId w:val="114"/>
  </w:num>
  <w:num w:numId="144" w16cid:durableId="1769616347">
    <w:abstractNumId w:val="197"/>
  </w:num>
  <w:num w:numId="145" w16cid:durableId="234127033">
    <w:abstractNumId w:val="173"/>
  </w:num>
  <w:num w:numId="146" w16cid:durableId="170343239">
    <w:abstractNumId w:val="189"/>
  </w:num>
  <w:num w:numId="147" w16cid:durableId="1022633831">
    <w:abstractNumId w:val="182"/>
  </w:num>
  <w:num w:numId="148" w16cid:durableId="77136232">
    <w:abstractNumId w:val="47"/>
  </w:num>
  <w:num w:numId="149" w16cid:durableId="1727989942">
    <w:abstractNumId w:val="219"/>
  </w:num>
  <w:num w:numId="150" w16cid:durableId="1999645769">
    <w:abstractNumId w:val="255"/>
  </w:num>
  <w:num w:numId="151" w16cid:durableId="1397388162">
    <w:abstractNumId w:val="59"/>
  </w:num>
  <w:num w:numId="152" w16cid:durableId="798644577">
    <w:abstractNumId w:val="54"/>
  </w:num>
  <w:num w:numId="153" w16cid:durableId="1178349788">
    <w:abstractNumId w:val="41"/>
  </w:num>
  <w:num w:numId="154" w16cid:durableId="1689408268">
    <w:abstractNumId w:val="14"/>
  </w:num>
  <w:num w:numId="155" w16cid:durableId="1759055005">
    <w:abstractNumId w:val="64"/>
  </w:num>
  <w:num w:numId="156" w16cid:durableId="1235361850">
    <w:abstractNumId w:val="120"/>
  </w:num>
  <w:num w:numId="157" w16cid:durableId="1679504440">
    <w:abstractNumId w:val="125"/>
  </w:num>
  <w:num w:numId="158" w16cid:durableId="2060812145">
    <w:abstractNumId w:val="254"/>
  </w:num>
  <w:num w:numId="159" w16cid:durableId="635767177">
    <w:abstractNumId w:val="204"/>
  </w:num>
  <w:num w:numId="160" w16cid:durableId="329607161">
    <w:abstractNumId w:val="22"/>
  </w:num>
  <w:num w:numId="161" w16cid:durableId="8338727">
    <w:abstractNumId w:val="154"/>
  </w:num>
  <w:num w:numId="162" w16cid:durableId="684401787">
    <w:abstractNumId w:val="145"/>
  </w:num>
  <w:num w:numId="163" w16cid:durableId="127747152">
    <w:abstractNumId w:val="215"/>
  </w:num>
  <w:num w:numId="164" w16cid:durableId="754740136">
    <w:abstractNumId w:val="233"/>
  </w:num>
  <w:num w:numId="165" w16cid:durableId="816067729">
    <w:abstractNumId w:val="146"/>
  </w:num>
  <w:num w:numId="166" w16cid:durableId="762722251">
    <w:abstractNumId w:val="187"/>
  </w:num>
  <w:num w:numId="167" w16cid:durableId="1431511421">
    <w:abstractNumId w:val="172"/>
  </w:num>
  <w:num w:numId="168" w16cid:durableId="2090927442">
    <w:abstractNumId w:val="11"/>
  </w:num>
  <w:num w:numId="169" w16cid:durableId="1290354069">
    <w:abstractNumId w:val="140"/>
  </w:num>
  <w:num w:numId="170" w16cid:durableId="1499882789">
    <w:abstractNumId w:val="49"/>
  </w:num>
  <w:num w:numId="171" w16cid:durableId="2093424952">
    <w:abstractNumId w:val="175"/>
  </w:num>
  <w:num w:numId="172" w16cid:durableId="1522016380">
    <w:abstractNumId w:val="250"/>
  </w:num>
  <w:num w:numId="173" w16cid:durableId="2087678769">
    <w:abstractNumId w:val="166"/>
  </w:num>
  <w:num w:numId="174" w16cid:durableId="586882749">
    <w:abstractNumId w:val="251"/>
  </w:num>
  <w:num w:numId="175" w16cid:durableId="1716811105">
    <w:abstractNumId w:val="196"/>
  </w:num>
  <w:num w:numId="176" w16cid:durableId="12654535">
    <w:abstractNumId w:val="185"/>
  </w:num>
  <w:num w:numId="177" w16cid:durableId="994913803">
    <w:abstractNumId w:val="99"/>
  </w:num>
  <w:num w:numId="178" w16cid:durableId="1302685540">
    <w:abstractNumId w:val="4"/>
  </w:num>
  <w:num w:numId="179" w16cid:durableId="595477989">
    <w:abstractNumId w:val="5"/>
  </w:num>
  <w:num w:numId="180" w16cid:durableId="1242327556">
    <w:abstractNumId w:val="0"/>
  </w:num>
  <w:num w:numId="181" w16cid:durableId="1307248033">
    <w:abstractNumId w:val="3"/>
  </w:num>
  <w:num w:numId="182" w16cid:durableId="238176636">
    <w:abstractNumId w:val="1"/>
  </w:num>
  <w:num w:numId="183" w16cid:durableId="836309140">
    <w:abstractNumId w:val="2"/>
  </w:num>
  <w:num w:numId="184" w16cid:durableId="1145780584">
    <w:abstractNumId w:val="79"/>
  </w:num>
  <w:num w:numId="185" w16cid:durableId="1579635066">
    <w:abstractNumId w:val="260"/>
  </w:num>
  <w:num w:numId="186" w16cid:durableId="2063669388">
    <w:abstractNumId w:val="239"/>
  </w:num>
  <w:num w:numId="187" w16cid:durableId="2064256204">
    <w:abstractNumId w:val="48"/>
  </w:num>
  <w:num w:numId="188" w16cid:durableId="1068113715">
    <w:abstractNumId w:val="95"/>
  </w:num>
  <w:num w:numId="189" w16cid:durableId="1371147257">
    <w:abstractNumId w:val="18"/>
  </w:num>
  <w:num w:numId="190" w16cid:durableId="2071539260">
    <w:abstractNumId w:val="148"/>
  </w:num>
  <w:num w:numId="191" w16cid:durableId="814418999">
    <w:abstractNumId w:val="56"/>
  </w:num>
  <w:num w:numId="192" w16cid:durableId="579291207">
    <w:abstractNumId w:val="20"/>
  </w:num>
  <w:num w:numId="193" w16cid:durableId="884023167">
    <w:abstractNumId w:val="19"/>
  </w:num>
  <w:num w:numId="194" w16cid:durableId="1367868898">
    <w:abstractNumId w:val="90"/>
  </w:num>
  <w:num w:numId="195" w16cid:durableId="274141586">
    <w:abstractNumId w:val="198"/>
  </w:num>
  <w:num w:numId="196" w16cid:durableId="283511835">
    <w:abstractNumId w:val="143"/>
  </w:num>
  <w:num w:numId="197" w16cid:durableId="1667368209">
    <w:abstractNumId w:val="53"/>
  </w:num>
  <w:num w:numId="198" w16cid:durableId="1903132584">
    <w:abstractNumId w:val="44"/>
  </w:num>
  <w:num w:numId="199" w16cid:durableId="911810718">
    <w:abstractNumId w:val="52"/>
  </w:num>
  <w:num w:numId="200" w16cid:durableId="22173568">
    <w:abstractNumId w:val="117"/>
  </w:num>
  <w:num w:numId="201" w16cid:durableId="1071738649">
    <w:abstractNumId w:val="13"/>
  </w:num>
  <w:num w:numId="202" w16cid:durableId="1231038824">
    <w:abstractNumId w:val="193"/>
  </w:num>
  <w:num w:numId="203" w16cid:durableId="1614751454">
    <w:abstractNumId w:val="101"/>
  </w:num>
  <w:num w:numId="204" w16cid:durableId="1167790063">
    <w:abstractNumId w:val="237"/>
  </w:num>
  <w:num w:numId="205" w16cid:durableId="1387029718">
    <w:abstractNumId w:val="245"/>
  </w:num>
  <w:num w:numId="206" w16cid:durableId="290744546">
    <w:abstractNumId w:val="247"/>
  </w:num>
  <w:num w:numId="207" w16cid:durableId="466121348">
    <w:abstractNumId w:val="28"/>
  </w:num>
  <w:num w:numId="208" w16cid:durableId="1233660791">
    <w:abstractNumId w:val="153"/>
  </w:num>
  <w:num w:numId="209" w16cid:durableId="26175885">
    <w:abstractNumId w:val="100"/>
  </w:num>
  <w:num w:numId="210" w16cid:durableId="1586455865">
    <w:abstractNumId w:val="243"/>
  </w:num>
  <w:num w:numId="211" w16cid:durableId="234707646">
    <w:abstractNumId w:val="108"/>
  </w:num>
  <w:num w:numId="212" w16cid:durableId="902717193">
    <w:abstractNumId w:val="58"/>
    <w:lvlOverride w:ilvl="0">
      <w:lvl w:ilvl="0">
        <w:numFmt w:val="decimal"/>
        <w:lvlText w:val="%1."/>
        <w:lvlJc w:val="left"/>
      </w:lvl>
    </w:lvlOverride>
  </w:num>
  <w:num w:numId="213" w16cid:durableId="678507854">
    <w:abstractNumId w:val="235"/>
  </w:num>
  <w:num w:numId="214" w16cid:durableId="436604328">
    <w:abstractNumId w:val="238"/>
  </w:num>
  <w:num w:numId="215" w16cid:durableId="983581908">
    <w:abstractNumId w:val="156"/>
  </w:num>
  <w:num w:numId="216" w16cid:durableId="859274772">
    <w:abstractNumId w:val="80"/>
  </w:num>
  <w:num w:numId="217" w16cid:durableId="1950508666">
    <w:abstractNumId w:val="104"/>
  </w:num>
  <w:num w:numId="218" w16cid:durableId="1706522418">
    <w:abstractNumId w:val="103"/>
  </w:num>
  <w:num w:numId="219" w16cid:durableId="769156855">
    <w:abstractNumId w:val="106"/>
  </w:num>
  <w:num w:numId="220" w16cid:durableId="228468531">
    <w:abstractNumId w:val="57"/>
  </w:num>
  <w:num w:numId="221" w16cid:durableId="1322928934">
    <w:abstractNumId w:val="124"/>
  </w:num>
  <w:num w:numId="222" w16cid:durableId="1967856827">
    <w:abstractNumId w:val="164"/>
  </w:num>
  <w:num w:numId="223" w16cid:durableId="1610815488">
    <w:abstractNumId w:val="9"/>
  </w:num>
  <w:num w:numId="224" w16cid:durableId="1630938356">
    <w:abstractNumId w:val="224"/>
  </w:num>
  <w:num w:numId="225" w16cid:durableId="910505216">
    <w:abstractNumId w:val="246"/>
  </w:num>
  <w:num w:numId="226" w16cid:durableId="1132744796">
    <w:abstractNumId w:val="85"/>
  </w:num>
  <w:num w:numId="227" w16cid:durableId="43456371">
    <w:abstractNumId w:val="72"/>
  </w:num>
  <w:num w:numId="228" w16cid:durableId="1030111211">
    <w:abstractNumId w:val="165"/>
  </w:num>
  <w:num w:numId="229" w16cid:durableId="1659067504">
    <w:abstractNumId w:val="115"/>
  </w:num>
  <w:num w:numId="230" w16cid:durableId="889193728">
    <w:abstractNumId w:val="42"/>
  </w:num>
  <w:num w:numId="231" w16cid:durableId="1605842036">
    <w:abstractNumId w:val="258"/>
  </w:num>
  <w:num w:numId="232" w16cid:durableId="683747414">
    <w:abstractNumId w:val="98"/>
  </w:num>
  <w:num w:numId="233" w16cid:durableId="2035879832">
    <w:abstractNumId w:val="256"/>
  </w:num>
  <w:num w:numId="234" w16cid:durableId="489909076">
    <w:abstractNumId w:val="111"/>
  </w:num>
  <w:num w:numId="235" w16cid:durableId="965893182">
    <w:abstractNumId w:val="244"/>
  </w:num>
  <w:num w:numId="236" w16cid:durableId="1949115438">
    <w:abstractNumId w:val="93"/>
  </w:num>
  <w:num w:numId="237" w16cid:durableId="288971190">
    <w:abstractNumId w:val="192"/>
  </w:num>
  <w:num w:numId="238" w16cid:durableId="1118530639">
    <w:abstractNumId w:val="62"/>
  </w:num>
  <w:num w:numId="239" w16cid:durableId="1603874787">
    <w:abstractNumId w:val="162"/>
  </w:num>
  <w:num w:numId="240" w16cid:durableId="223415843">
    <w:abstractNumId w:val="220"/>
  </w:num>
  <w:num w:numId="241" w16cid:durableId="1929341400">
    <w:abstractNumId w:val="177"/>
  </w:num>
  <w:num w:numId="242" w16cid:durableId="725571537">
    <w:abstractNumId w:val="89"/>
  </w:num>
  <w:num w:numId="243" w16cid:durableId="1703095177">
    <w:abstractNumId w:val="39"/>
  </w:num>
  <w:num w:numId="244" w16cid:durableId="1110319700">
    <w:abstractNumId w:val="214"/>
  </w:num>
  <w:num w:numId="245" w16cid:durableId="48498368">
    <w:abstractNumId w:val="105"/>
  </w:num>
  <w:num w:numId="246" w16cid:durableId="1115639926">
    <w:abstractNumId w:val="10"/>
  </w:num>
  <w:num w:numId="247" w16cid:durableId="963925856">
    <w:abstractNumId w:val="60"/>
  </w:num>
  <w:num w:numId="248" w16cid:durableId="722365434">
    <w:abstractNumId w:val="24"/>
  </w:num>
  <w:num w:numId="249" w16cid:durableId="1185092317">
    <w:abstractNumId w:val="119"/>
  </w:num>
  <w:num w:numId="250" w16cid:durableId="370768276">
    <w:abstractNumId w:val="186"/>
  </w:num>
  <w:num w:numId="251" w16cid:durableId="752631243">
    <w:abstractNumId w:val="181"/>
  </w:num>
  <w:num w:numId="252" w16cid:durableId="369427617">
    <w:abstractNumId w:val="168"/>
  </w:num>
  <w:num w:numId="253" w16cid:durableId="1223443546">
    <w:abstractNumId w:val="29"/>
  </w:num>
  <w:num w:numId="254" w16cid:durableId="1678850800">
    <w:abstractNumId w:val="223"/>
  </w:num>
  <w:num w:numId="255" w16cid:durableId="1479300321">
    <w:abstractNumId w:val="65"/>
  </w:num>
  <w:num w:numId="256" w16cid:durableId="700738661">
    <w:abstractNumId w:val="36"/>
  </w:num>
  <w:num w:numId="257" w16cid:durableId="862984355">
    <w:abstractNumId w:val="169"/>
  </w:num>
  <w:num w:numId="258" w16cid:durableId="1684554103">
    <w:abstractNumId w:val="131"/>
  </w:num>
  <w:num w:numId="259" w16cid:durableId="683164960">
    <w:abstractNumId w:val="130"/>
  </w:num>
  <w:num w:numId="260" w16cid:durableId="685206212">
    <w:abstractNumId w:val="61"/>
  </w:num>
  <w:num w:numId="261" w16cid:durableId="2122070315">
    <w:abstractNumId w:val="231"/>
  </w:num>
  <w:num w:numId="262" w16cid:durableId="25297332">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evenAndOddHeaders/>
  <w:characterSpacingControl w:val="doNotCompress"/>
  <w:hdrShapeDefaults>
    <o:shapedefaults v:ext="edit" spidmax="2050" style="mso-position-horizontal:center;mso-position-horizontal-relative:margin;mso-position-vertical:top;mso-position-vertical-relative:margin" fillcolor="none [2732]">
      <v:fill color="none [2732]" color2="#d8d8d8" focusposition="1" focussize="" focus="-50%" type="gradient"/>
      <v:stroke weight="1.5pt"/>
      <v:shadow on="t" color="#7f7f7f" opacity=".5" offset="6pt,-6pt"/>
    </o:shapedefaults>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8DE"/>
    <w:rsid w:val="00000376"/>
    <w:rsid w:val="0000079C"/>
    <w:rsid w:val="00000DA4"/>
    <w:rsid w:val="00000EC1"/>
    <w:rsid w:val="00003C39"/>
    <w:rsid w:val="000054B3"/>
    <w:rsid w:val="00006FFE"/>
    <w:rsid w:val="0000773F"/>
    <w:rsid w:val="0001152E"/>
    <w:rsid w:val="00013938"/>
    <w:rsid w:val="00014020"/>
    <w:rsid w:val="00016C1E"/>
    <w:rsid w:val="000208A0"/>
    <w:rsid w:val="00020BA7"/>
    <w:rsid w:val="00020FED"/>
    <w:rsid w:val="000224F6"/>
    <w:rsid w:val="000241DD"/>
    <w:rsid w:val="00024CA9"/>
    <w:rsid w:val="00025371"/>
    <w:rsid w:val="00025A0D"/>
    <w:rsid w:val="00031AA7"/>
    <w:rsid w:val="00031EA4"/>
    <w:rsid w:val="000327E6"/>
    <w:rsid w:val="000363FF"/>
    <w:rsid w:val="00037333"/>
    <w:rsid w:val="0003737B"/>
    <w:rsid w:val="000402C7"/>
    <w:rsid w:val="00040C11"/>
    <w:rsid w:val="00040C16"/>
    <w:rsid w:val="00040EB8"/>
    <w:rsid w:val="0004119D"/>
    <w:rsid w:val="00041817"/>
    <w:rsid w:val="0004219F"/>
    <w:rsid w:val="00046176"/>
    <w:rsid w:val="00046F14"/>
    <w:rsid w:val="0005002D"/>
    <w:rsid w:val="000507F8"/>
    <w:rsid w:val="00050C5D"/>
    <w:rsid w:val="00051519"/>
    <w:rsid w:val="00051D62"/>
    <w:rsid w:val="00052A64"/>
    <w:rsid w:val="00052EE6"/>
    <w:rsid w:val="00052FC9"/>
    <w:rsid w:val="00055F36"/>
    <w:rsid w:val="00056079"/>
    <w:rsid w:val="0006007D"/>
    <w:rsid w:val="00061B95"/>
    <w:rsid w:val="00061BFA"/>
    <w:rsid w:val="00062770"/>
    <w:rsid w:val="000655A4"/>
    <w:rsid w:val="000655AF"/>
    <w:rsid w:val="00066B98"/>
    <w:rsid w:val="00073867"/>
    <w:rsid w:val="00077193"/>
    <w:rsid w:val="000874F4"/>
    <w:rsid w:val="00090166"/>
    <w:rsid w:val="0009261C"/>
    <w:rsid w:val="0009311A"/>
    <w:rsid w:val="0009616C"/>
    <w:rsid w:val="00097E66"/>
    <w:rsid w:val="000A40FD"/>
    <w:rsid w:val="000A4232"/>
    <w:rsid w:val="000A5D81"/>
    <w:rsid w:val="000A75CD"/>
    <w:rsid w:val="000B0C83"/>
    <w:rsid w:val="000B164D"/>
    <w:rsid w:val="000B1657"/>
    <w:rsid w:val="000B2174"/>
    <w:rsid w:val="000B2F7C"/>
    <w:rsid w:val="000B33DE"/>
    <w:rsid w:val="000B431A"/>
    <w:rsid w:val="000B46B3"/>
    <w:rsid w:val="000B6074"/>
    <w:rsid w:val="000B6F62"/>
    <w:rsid w:val="000B785D"/>
    <w:rsid w:val="000C04D0"/>
    <w:rsid w:val="000C13A1"/>
    <w:rsid w:val="000C1807"/>
    <w:rsid w:val="000C2E3D"/>
    <w:rsid w:val="000C320B"/>
    <w:rsid w:val="000C391B"/>
    <w:rsid w:val="000C494D"/>
    <w:rsid w:val="000C703D"/>
    <w:rsid w:val="000D0327"/>
    <w:rsid w:val="000D04E7"/>
    <w:rsid w:val="000D1BD2"/>
    <w:rsid w:val="000D2A78"/>
    <w:rsid w:val="000D3056"/>
    <w:rsid w:val="000D33F4"/>
    <w:rsid w:val="000D3732"/>
    <w:rsid w:val="000D476E"/>
    <w:rsid w:val="000D50D4"/>
    <w:rsid w:val="000D6D0C"/>
    <w:rsid w:val="000D745E"/>
    <w:rsid w:val="000D7838"/>
    <w:rsid w:val="000D7B3D"/>
    <w:rsid w:val="000E172A"/>
    <w:rsid w:val="000E265B"/>
    <w:rsid w:val="000E3A58"/>
    <w:rsid w:val="000E7889"/>
    <w:rsid w:val="000E7E79"/>
    <w:rsid w:val="000F1CCB"/>
    <w:rsid w:val="000F35A6"/>
    <w:rsid w:val="000F3D82"/>
    <w:rsid w:val="000F3DC0"/>
    <w:rsid w:val="000F41EB"/>
    <w:rsid w:val="000F52CC"/>
    <w:rsid w:val="001003CD"/>
    <w:rsid w:val="0010043F"/>
    <w:rsid w:val="00101DA2"/>
    <w:rsid w:val="001022AA"/>
    <w:rsid w:val="001024F1"/>
    <w:rsid w:val="00102AD1"/>
    <w:rsid w:val="00102B20"/>
    <w:rsid w:val="00104E26"/>
    <w:rsid w:val="00106335"/>
    <w:rsid w:val="0011073B"/>
    <w:rsid w:val="00112DF2"/>
    <w:rsid w:val="0011490D"/>
    <w:rsid w:val="00115329"/>
    <w:rsid w:val="00115FE1"/>
    <w:rsid w:val="00124F19"/>
    <w:rsid w:val="001275FF"/>
    <w:rsid w:val="00127AB5"/>
    <w:rsid w:val="00131D77"/>
    <w:rsid w:val="00132F52"/>
    <w:rsid w:val="00133F6B"/>
    <w:rsid w:val="00135B13"/>
    <w:rsid w:val="001404A9"/>
    <w:rsid w:val="001413A0"/>
    <w:rsid w:val="0014371E"/>
    <w:rsid w:val="0014372F"/>
    <w:rsid w:val="0014383B"/>
    <w:rsid w:val="0014453D"/>
    <w:rsid w:val="001456FE"/>
    <w:rsid w:val="00150B04"/>
    <w:rsid w:val="001519AF"/>
    <w:rsid w:val="00152736"/>
    <w:rsid w:val="0015587D"/>
    <w:rsid w:val="00160803"/>
    <w:rsid w:val="00160B21"/>
    <w:rsid w:val="0016280B"/>
    <w:rsid w:val="00163EDA"/>
    <w:rsid w:val="00164D26"/>
    <w:rsid w:val="00165C3A"/>
    <w:rsid w:val="00165FCA"/>
    <w:rsid w:val="00166B97"/>
    <w:rsid w:val="00166DF1"/>
    <w:rsid w:val="001737DE"/>
    <w:rsid w:val="00175673"/>
    <w:rsid w:val="00176B89"/>
    <w:rsid w:val="00181EA9"/>
    <w:rsid w:val="001821D8"/>
    <w:rsid w:val="00182BE3"/>
    <w:rsid w:val="001830E0"/>
    <w:rsid w:val="00187301"/>
    <w:rsid w:val="00190F4A"/>
    <w:rsid w:val="0019158B"/>
    <w:rsid w:val="00191AA3"/>
    <w:rsid w:val="00191F83"/>
    <w:rsid w:val="00192E61"/>
    <w:rsid w:val="00193A8A"/>
    <w:rsid w:val="00193FC4"/>
    <w:rsid w:val="001946F2"/>
    <w:rsid w:val="001955E5"/>
    <w:rsid w:val="00195AD4"/>
    <w:rsid w:val="00197905"/>
    <w:rsid w:val="00197D68"/>
    <w:rsid w:val="001A3236"/>
    <w:rsid w:val="001A3D6F"/>
    <w:rsid w:val="001A4F0F"/>
    <w:rsid w:val="001A580B"/>
    <w:rsid w:val="001B2960"/>
    <w:rsid w:val="001B5B99"/>
    <w:rsid w:val="001B641D"/>
    <w:rsid w:val="001B75CA"/>
    <w:rsid w:val="001B7F7F"/>
    <w:rsid w:val="001C18DE"/>
    <w:rsid w:val="001C26D1"/>
    <w:rsid w:val="001C272A"/>
    <w:rsid w:val="001C43FB"/>
    <w:rsid w:val="001C4DCD"/>
    <w:rsid w:val="001C5242"/>
    <w:rsid w:val="001C60D2"/>
    <w:rsid w:val="001C6192"/>
    <w:rsid w:val="001C6737"/>
    <w:rsid w:val="001C7285"/>
    <w:rsid w:val="001D200B"/>
    <w:rsid w:val="001D5481"/>
    <w:rsid w:val="001D62B7"/>
    <w:rsid w:val="001D7DD6"/>
    <w:rsid w:val="001E4EBA"/>
    <w:rsid w:val="001E5939"/>
    <w:rsid w:val="001F0967"/>
    <w:rsid w:val="001F16BF"/>
    <w:rsid w:val="001F188D"/>
    <w:rsid w:val="001F4432"/>
    <w:rsid w:val="001F6BE6"/>
    <w:rsid w:val="00202154"/>
    <w:rsid w:val="002022C3"/>
    <w:rsid w:val="00202808"/>
    <w:rsid w:val="00202F09"/>
    <w:rsid w:val="00206148"/>
    <w:rsid w:val="002064A1"/>
    <w:rsid w:val="002069FC"/>
    <w:rsid w:val="002109BE"/>
    <w:rsid w:val="00211A2E"/>
    <w:rsid w:val="00212705"/>
    <w:rsid w:val="00214EA7"/>
    <w:rsid w:val="00215C7A"/>
    <w:rsid w:val="00216870"/>
    <w:rsid w:val="00216D21"/>
    <w:rsid w:val="0022095C"/>
    <w:rsid w:val="0022233C"/>
    <w:rsid w:val="002224C7"/>
    <w:rsid w:val="00222A50"/>
    <w:rsid w:val="00222B11"/>
    <w:rsid w:val="0022541B"/>
    <w:rsid w:val="0022707C"/>
    <w:rsid w:val="002314FA"/>
    <w:rsid w:val="00231741"/>
    <w:rsid w:val="00231EAA"/>
    <w:rsid w:val="00232001"/>
    <w:rsid w:val="002320A2"/>
    <w:rsid w:val="00234524"/>
    <w:rsid w:val="002364CC"/>
    <w:rsid w:val="00240CE7"/>
    <w:rsid w:val="00244D7E"/>
    <w:rsid w:val="00245E72"/>
    <w:rsid w:val="00250434"/>
    <w:rsid w:val="00251F8D"/>
    <w:rsid w:val="00254811"/>
    <w:rsid w:val="00255B89"/>
    <w:rsid w:val="00260C23"/>
    <w:rsid w:val="0026180C"/>
    <w:rsid w:val="0026279F"/>
    <w:rsid w:val="0026480B"/>
    <w:rsid w:val="00264FA2"/>
    <w:rsid w:val="00265848"/>
    <w:rsid w:val="0027213B"/>
    <w:rsid w:val="002730A0"/>
    <w:rsid w:val="002756B7"/>
    <w:rsid w:val="0027678D"/>
    <w:rsid w:val="00276A83"/>
    <w:rsid w:val="00277E0B"/>
    <w:rsid w:val="00282874"/>
    <w:rsid w:val="002829D4"/>
    <w:rsid w:val="00282CE0"/>
    <w:rsid w:val="00283629"/>
    <w:rsid w:val="002840A6"/>
    <w:rsid w:val="00286F84"/>
    <w:rsid w:val="00290656"/>
    <w:rsid w:val="00291732"/>
    <w:rsid w:val="002918AB"/>
    <w:rsid w:val="00292237"/>
    <w:rsid w:val="00292382"/>
    <w:rsid w:val="00293AB5"/>
    <w:rsid w:val="00295273"/>
    <w:rsid w:val="00296B24"/>
    <w:rsid w:val="00297B44"/>
    <w:rsid w:val="002A1187"/>
    <w:rsid w:val="002A1FC0"/>
    <w:rsid w:val="002A2948"/>
    <w:rsid w:val="002A2B57"/>
    <w:rsid w:val="002A3782"/>
    <w:rsid w:val="002A5541"/>
    <w:rsid w:val="002B21AD"/>
    <w:rsid w:val="002B31C9"/>
    <w:rsid w:val="002B7D7C"/>
    <w:rsid w:val="002C213D"/>
    <w:rsid w:val="002C2289"/>
    <w:rsid w:val="002C245A"/>
    <w:rsid w:val="002C5F3F"/>
    <w:rsid w:val="002D0627"/>
    <w:rsid w:val="002D181C"/>
    <w:rsid w:val="002D5740"/>
    <w:rsid w:val="002D64D3"/>
    <w:rsid w:val="002D68E8"/>
    <w:rsid w:val="002D70A6"/>
    <w:rsid w:val="002E0529"/>
    <w:rsid w:val="002E17C9"/>
    <w:rsid w:val="002E1CCC"/>
    <w:rsid w:val="002E2796"/>
    <w:rsid w:val="002E4789"/>
    <w:rsid w:val="002E53B8"/>
    <w:rsid w:val="002E5808"/>
    <w:rsid w:val="002E7525"/>
    <w:rsid w:val="002F0136"/>
    <w:rsid w:val="002F0853"/>
    <w:rsid w:val="002F17C8"/>
    <w:rsid w:val="002F1E08"/>
    <w:rsid w:val="002F2927"/>
    <w:rsid w:val="002F37E9"/>
    <w:rsid w:val="002F3E9A"/>
    <w:rsid w:val="002F4429"/>
    <w:rsid w:val="002F5E50"/>
    <w:rsid w:val="002F5F9D"/>
    <w:rsid w:val="0030094D"/>
    <w:rsid w:val="003009ED"/>
    <w:rsid w:val="00301914"/>
    <w:rsid w:val="003024A5"/>
    <w:rsid w:val="00304338"/>
    <w:rsid w:val="0030456A"/>
    <w:rsid w:val="00304808"/>
    <w:rsid w:val="00304A20"/>
    <w:rsid w:val="0030586D"/>
    <w:rsid w:val="003073D9"/>
    <w:rsid w:val="00307E62"/>
    <w:rsid w:val="003105A5"/>
    <w:rsid w:val="003129BF"/>
    <w:rsid w:val="00313468"/>
    <w:rsid w:val="003148A5"/>
    <w:rsid w:val="00314B87"/>
    <w:rsid w:val="0032248B"/>
    <w:rsid w:val="00322B86"/>
    <w:rsid w:val="00322C0C"/>
    <w:rsid w:val="00323450"/>
    <w:rsid w:val="00323E9C"/>
    <w:rsid w:val="00324040"/>
    <w:rsid w:val="00324381"/>
    <w:rsid w:val="003278DB"/>
    <w:rsid w:val="00330B6A"/>
    <w:rsid w:val="00330F05"/>
    <w:rsid w:val="00334D23"/>
    <w:rsid w:val="00335045"/>
    <w:rsid w:val="003413F4"/>
    <w:rsid w:val="003443CC"/>
    <w:rsid w:val="00347006"/>
    <w:rsid w:val="0035173D"/>
    <w:rsid w:val="00352279"/>
    <w:rsid w:val="0035506D"/>
    <w:rsid w:val="00355336"/>
    <w:rsid w:val="00357D00"/>
    <w:rsid w:val="00362ADF"/>
    <w:rsid w:val="00364341"/>
    <w:rsid w:val="00364553"/>
    <w:rsid w:val="00365C48"/>
    <w:rsid w:val="00365E9D"/>
    <w:rsid w:val="00371524"/>
    <w:rsid w:val="00371839"/>
    <w:rsid w:val="00372DDA"/>
    <w:rsid w:val="00372FA2"/>
    <w:rsid w:val="003731EF"/>
    <w:rsid w:val="00373BAC"/>
    <w:rsid w:val="003744A6"/>
    <w:rsid w:val="00374B7A"/>
    <w:rsid w:val="00374EB2"/>
    <w:rsid w:val="00375C8B"/>
    <w:rsid w:val="0037709F"/>
    <w:rsid w:val="003826C2"/>
    <w:rsid w:val="00382C65"/>
    <w:rsid w:val="00382D48"/>
    <w:rsid w:val="00386A48"/>
    <w:rsid w:val="00390335"/>
    <w:rsid w:val="00390B5A"/>
    <w:rsid w:val="0039122B"/>
    <w:rsid w:val="00393EC6"/>
    <w:rsid w:val="00394935"/>
    <w:rsid w:val="003953E4"/>
    <w:rsid w:val="00395568"/>
    <w:rsid w:val="003958B7"/>
    <w:rsid w:val="0039714D"/>
    <w:rsid w:val="003A05ED"/>
    <w:rsid w:val="003A521C"/>
    <w:rsid w:val="003B0E89"/>
    <w:rsid w:val="003B1092"/>
    <w:rsid w:val="003B18DD"/>
    <w:rsid w:val="003B213A"/>
    <w:rsid w:val="003B22D5"/>
    <w:rsid w:val="003B23FC"/>
    <w:rsid w:val="003C05CA"/>
    <w:rsid w:val="003C0CC5"/>
    <w:rsid w:val="003C0E9B"/>
    <w:rsid w:val="003C0EAA"/>
    <w:rsid w:val="003C2237"/>
    <w:rsid w:val="003C242C"/>
    <w:rsid w:val="003C3CF0"/>
    <w:rsid w:val="003D3B0E"/>
    <w:rsid w:val="003D4819"/>
    <w:rsid w:val="003D5832"/>
    <w:rsid w:val="003D6F8A"/>
    <w:rsid w:val="003E2465"/>
    <w:rsid w:val="003E4972"/>
    <w:rsid w:val="003E6DD3"/>
    <w:rsid w:val="003F000F"/>
    <w:rsid w:val="003F4840"/>
    <w:rsid w:val="003F4B8F"/>
    <w:rsid w:val="003F4FFB"/>
    <w:rsid w:val="003F5481"/>
    <w:rsid w:val="003F6C09"/>
    <w:rsid w:val="003F7BB4"/>
    <w:rsid w:val="00401003"/>
    <w:rsid w:val="00402B62"/>
    <w:rsid w:val="0040550D"/>
    <w:rsid w:val="00407C47"/>
    <w:rsid w:val="004100A3"/>
    <w:rsid w:val="004107EE"/>
    <w:rsid w:val="00411BFD"/>
    <w:rsid w:val="00411C90"/>
    <w:rsid w:val="00411D31"/>
    <w:rsid w:val="00413ABA"/>
    <w:rsid w:val="004146DE"/>
    <w:rsid w:val="00415400"/>
    <w:rsid w:val="004205C4"/>
    <w:rsid w:val="004226D0"/>
    <w:rsid w:val="0042413C"/>
    <w:rsid w:val="0042478B"/>
    <w:rsid w:val="0042498C"/>
    <w:rsid w:val="004256CC"/>
    <w:rsid w:val="004256CE"/>
    <w:rsid w:val="004259C4"/>
    <w:rsid w:val="00427B85"/>
    <w:rsid w:val="00430638"/>
    <w:rsid w:val="004311D4"/>
    <w:rsid w:val="004316D3"/>
    <w:rsid w:val="00434D96"/>
    <w:rsid w:val="00435364"/>
    <w:rsid w:val="00437929"/>
    <w:rsid w:val="00437D8C"/>
    <w:rsid w:val="0044177F"/>
    <w:rsid w:val="00443AB6"/>
    <w:rsid w:val="0044555A"/>
    <w:rsid w:val="004467A6"/>
    <w:rsid w:val="004513B1"/>
    <w:rsid w:val="004513EE"/>
    <w:rsid w:val="004527F0"/>
    <w:rsid w:val="00452D7B"/>
    <w:rsid w:val="0045466B"/>
    <w:rsid w:val="00460BE3"/>
    <w:rsid w:val="00463EC0"/>
    <w:rsid w:val="00465DEF"/>
    <w:rsid w:val="00466FE3"/>
    <w:rsid w:val="00470359"/>
    <w:rsid w:val="00471EA1"/>
    <w:rsid w:val="00471F96"/>
    <w:rsid w:val="00472820"/>
    <w:rsid w:val="00472925"/>
    <w:rsid w:val="00474E91"/>
    <w:rsid w:val="004750C5"/>
    <w:rsid w:val="00475696"/>
    <w:rsid w:val="00476E70"/>
    <w:rsid w:val="004826C4"/>
    <w:rsid w:val="00482F77"/>
    <w:rsid w:val="004910AB"/>
    <w:rsid w:val="0049143C"/>
    <w:rsid w:val="00492B65"/>
    <w:rsid w:val="00495E8C"/>
    <w:rsid w:val="004A023A"/>
    <w:rsid w:val="004A322F"/>
    <w:rsid w:val="004A4275"/>
    <w:rsid w:val="004A5AD6"/>
    <w:rsid w:val="004A5FC4"/>
    <w:rsid w:val="004A627D"/>
    <w:rsid w:val="004A642D"/>
    <w:rsid w:val="004A7858"/>
    <w:rsid w:val="004B00B9"/>
    <w:rsid w:val="004B0539"/>
    <w:rsid w:val="004B1BAC"/>
    <w:rsid w:val="004B2F30"/>
    <w:rsid w:val="004B3A4D"/>
    <w:rsid w:val="004B50E0"/>
    <w:rsid w:val="004B556C"/>
    <w:rsid w:val="004B6B61"/>
    <w:rsid w:val="004B7000"/>
    <w:rsid w:val="004B752A"/>
    <w:rsid w:val="004C0565"/>
    <w:rsid w:val="004C18D4"/>
    <w:rsid w:val="004C2D86"/>
    <w:rsid w:val="004C32D5"/>
    <w:rsid w:val="004C4036"/>
    <w:rsid w:val="004C5C64"/>
    <w:rsid w:val="004C7889"/>
    <w:rsid w:val="004C7E90"/>
    <w:rsid w:val="004D2A29"/>
    <w:rsid w:val="004D32DB"/>
    <w:rsid w:val="004D4728"/>
    <w:rsid w:val="004D64B0"/>
    <w:rsid w:val="004D78CC"/>
    <w:rsid w:val="004E353A"/>
    <w:rsid w:val="004E6A3E"/>
    <w:rsid w:val="004E76DC"/>
    <w:rsid w:val="004E795E"/>
    <w:rsid w:val="004F036C"/>
    <w:rsid w:val="004F10D9"/>
    <w:rsid w:val="004F3A44"/>
    <w:rsid w:val="004F4C9F"/>
    <w:rsid w:val="004F5157"/>
    <w:rsid w:val="004F5236"/>
    <w:rsid w:val="004F5CD2"/>
    <w:rsid w:val="004F7AFB"/>
    <w:rsid w:val="00500B1C"/>
    <w:rsid w:val="0050237E"/>
    <w:rsid w:val="005027D1"/>
    <w:rsid w:val="0050491B"/>
    <w:rsid w:val="00504935"/>
    <w:rsid w:val="00504D2E"/>
    <w:rsid w:val="00507A12"/>
    <w:rsid w:val="00510B98"/>
    <w:rsid w:val="00511E6A"/>
    <w:rsid w:val="0051258C"/>
    <w:rsid w:val="00513295"/>
    <w:rsid w:val="00513C60"/>
    <w:rsid w:val="00514D7E"/>
    <w:rsid w:val="00516556"/>
    <w:rsid w:val="0051685B"/>
    <w:rsid w:val="00517C11"/>
    <w:rsid w:val="00521807"/>
    <w:rsid w:val="00522397"/>
    <w:rsid w:val="005231F8"/>
    <w:rsid w:val="00524826"/>
    <w:rsid w:val="00524EFB"/>
    <w:rsid w:val="00526F26"/>
    <w:rsid w:val="005312FB"/>
    <w:rsid w:val="00531540"/>
    <w:rsid w:val="00531B01"/>
    <w:rsid w:val="0053474F"/>
    <w:rsid w:val="005351E4"/>
    <w:rsid w:val="005368DB"/>
    <w:rsid w:val="00536A88"/>
    <w:rsid w:val="00536C67"/>
    <w:rsid w:val="00536D31"/>
    <w:rsid w:val="0053726E"/>
    <w:rsid w:val="0053760B"/>
    <w:rsid w:val="00541E72"/>
    <w:rsid w:val="00545961"/>
    <w:rsid w:val="00546E1C"/>
    <w:rsid w:val="005501C0"/>
    <w:rsid w:val="005529D7"/>
    <w:rsid w:val="00553874"/>
    <w:rsid w:val="00554A21"/>
    <w:rsid w:val="00554BE8"/>
    <w:rsid w:val="00555F8E"/>
    <w:rsid w:val="00560759"/>
    <w:rsid w:val="00561C8B"/>
    <w:rsid w:val="00563339"/>
    <w:rsid w:val="00563B0B"/>
    <w:rsid w:val="00566963"/>
    <w:rsid w:val="00566EF2"/>
    <w:rsid w:val="0057138D"/>
    <w:rsid w:val="005717F4"/>
    <w:rsid w:val="005718BA"/>
    <w:rsid w:val="005756D1"/>
    <w:rsid w:val="00575F26"/>
    <w:rsid w:val="00577E99"/>
    <w:rsid w:val="00580060"/>
    <w:rsid w:val="005808C8"/>
    <w:rsid w:val="00581315"/>
    <w:rsid w:val="00581810"/>
    <w:rsid w:val="00583BA5"/>
    <w:rsid w:val="00586747"/>
    <w:rsid w:val="0058754B"/>
    <w:rsid w:val="005900A7"/>
    <w:rsid w:val="00591A10"/>
    <w:rsid w:val="0059499D"/>
    <w:rsid w:val="00595049"/>
    <w:rsid w:val="00596E3E"/>
    <w:rsid w:val="00597375"/>
    <w:rsid w:val="005A07EB"/>
    <w:rsid w:val="005A10E8"/>
    <w:rsid w:val="005A2F1B"/>
    <w:rsid w:val="005A5165"/>
    <w:rsid w:val="005A7BDC"/>
    <w:rsid w:val="005B305A"/>
    <w:rsid w:val="005B68D5"/>
    <w:rsid w:val="005C3462"/>
    <w:rsid w:val="005C50B8"/>
    <w:rsid w:val="005C7AB5"/>
    <w:rsid w:val="005D02E3"/>
    <w:rsid w:val="005D036C"/>
    <w:rsid w:val="005D0D09"/>
    <w:rsid w:val="005D394C"/>
    <w:rsid w:val="005D560B"/>
    <w:rsid w:val="005D6144"/>
    <w:rsid w:val="005D6DAC"/>
    <w:rsid w:val="005E1AB4"/>
    <w:rsid w:val="005E2364"/>
    <w:rsid w:val="005E2988"/>
    <w:rsid w:val="005E41E4"/>
    <w:rsid w:val="005E4A52"/>
    <w:rsid w:val="005E564B"/>
    <w:rsid w:val="005E63F9"/>
    <w:rsid w:val="005F04AF"/>
    <w:rsid w:val="005F055F"/>
    <w:rsid w:val="005F2A07"/>
    <w:rsid w:val="005F2D76"/>
    <w:rsid w:val="005F2DC2"/>
    <w:rsid w:val="005F3438"/>
    <w:rsid w:val="005F4098"/>
    <w:rsid w:val="005F4BB8"/>
    <w:rsid w:val="005F4F6A"/>
    <w:rsid w:val="005F56BF"/>
    <w:rsid w:val="005F6AEB"/>
    <w:rsid w:val="005F71FA"/>
    <w:rsid w:val="005F7CD9"/>
    <w:rsid w:val="00601A04"/>
    <w:rsid w:val="00602EC0"/>
    <w:rsid w:val="00602FDD"/>
    <w:rsid w:val="00603027"/>
    <w:rsid w:val="00605015"/>
    <w:rsid w:val="00605FBC"/>
    <w:rsid w:val="00605FE2"/>
    <w:rsid w:val="00611CCC"/>
    <w:rsid w:val="00612560"/>
    <w:rsid w:val="006144E8"/>
    <w:rsid w:val="006178B2"/>
    <w:rsid w:val="00617D9C"/>
    <w:rsid w:val="0062031D"/>
    <w:rsid w:val="00620881"/>
    <w:rsid w:val="006209F7"/>
    <w:rsid w:val="0062329A"/>
    <w:rsid w:val="006242AE"/>
    <w:rsid w:val="0062571D"/>
    <w:rsid w:val="00626BE7"/>
    <w:rsid w:val="00627B6D"/>
    <w:rsid w:val="00630D5D"/>
    <w:rsid w:val="00631365"/>
    <w:rsid w:val="00631C94"/>
    <w:rsid w:val="00633D6C"/>
    <w:rsid w:val="00634A5E"/>
    <w:rsid w:val="00634D4A"/>
    <w:rsid w:val="006353DB"/>
    <w:rsid w:val="00635D51"/>
    <w:rsid w:val="00641969"/>
    <w:rsid w:val="00644ABB"/>
    <w:rsid w:val="00645A33"/>
    <w:rsid w:val="00646D90"/>
    <w:rsid w:val="006470E5"/>
    <w:rsid w:val="0064799B"/>
    <w:rsid w:val="0065017D"/>
    <w:rsid w:val="0065234C"/>
    <w:rsid w:val="00652CF4"/>
    <w:rsid w:val="00654C97"/>
    <w:rsid w:val="00655A62"/>
    <w:rsid w:val="00660988"/>
    <w:rsid w:val="00660CE5"/>
    <w:rsid w:val="00662098"/>
    <w:rsid w:val="00670371"/>
    <w:rsid w:val="00673347"/>
    <w:rsid w:val="006759CB"/>
    <w:rsid w:val="006764C1"/>
    <w:rsid w:val="00677378"/>
    <w:rsid w:val="0068067A"/>
    <w:rsid w:val="006806D7"/>
    <w:rsid w:val="0068147B"/>
    <w:rsid w:val="00682639"/>
    <w:rsid w:val="00682745"/>
    <w:rsid w:val="006836BA"/>
    <w:rsid w:val="00684C3A"/>
    <w:rsid w:val="00684EBD"/>
    <w:rsid w:val="00685FFC"/>
    <w:rsid w:val="00687A97"/>
    <w:rsid w:val="00687F90"/>
    <w:rsid w:val="00690927"/>
    <w:rsid w:val="00692187"/>
    <w:rsid w:val="00693457"/>
    <w:rsid w:val="00695DE4"/>
    <w:rsid w:val="00696704"/>
    <w:rsid w:val="006A010B"/>
    <w:rsid w:val="006A03B3"/>
    <w:rsid w:val="006A2756"/>
    <w:rsid w:val="006A2A49"/>
    <w:rsid w:val="006A2CBA"/>
    <w:rsid w:val="006A6207"/>
    <w:rsid w:val="006A7806"/>
    <w:rsid w:val="006B1920"/>
    <w:rsid w:val="006B3535"/>
    <w:rsid w:val="006B4098"/>
    <w:rsid w:val="006B4F44"/>
    <w:rsid w:val="006B5F63"/>
    <w:rsid w:val="006B7FFD"/>
    <w:rsid w:val="006C03E6"/>
    <w:rsid w:val="006C14F8"/>
    <w:rsid w:val="006C183A"/>
    <w:rsid w:val="006C1A46"/>
    <w:rsid w:val="006C321C"/>
    <w:rsid w:val="006C4F86"/>
    <w:rsid w:val="006C6943"/>
    <w:rsid w:val="006C728F"/>
    <w:rsid w:val="006D060D"/>
    <w:rsid w:val="006D12E1"/>
    <w:rsid w:val="006D55C5"/>
    <w:rsid w:val="006D587B"/>
    <w:rsid w:val="006D6CE1"/>
    <w:rsid w:val="006E0984"/>
    <w:rsid w:val="006E100C"/>
    <w:rsid w:val="006E1342"/>
    <w:rsid w:val="006E2CA3"/>
    <w:rsid w:val="006E2D84"/>
    <w:rsid w:val="006E4320"/>
    <w:rsid w:val="006E50E2"/>
    <w:rsid w:val="006E6851"/>
    <w:rsid w:val="006E728C"/>
    <w:rsid w:val="006F107D"/>
    <w:rsid w:val="006F1081"/>
    <w:rsid w:val="006F1DEE"/>
    <w:rsid w:val="006F24E5"/>
    <w:rsid w:val="006F3194"/>
    <w:rsid w:val="006F38B0"/>
    <w:rsid w:val="006F4019"/>
    <w:rsid w:val="006F6A7B"/>
    <w:rsid w:val="006F7539"/>
    <w:rsid w:val="00700C05"/>
    <w:rsid w:val="00701F69"/>
    <w:rsid w:val="00702277"/>
    <w:rsid w:val="007023F3"/>
    <w:rsid w:val="007026FB"/>
    <w:rsid w:val="00702CAC"/>
    <w:rsid w:val="007038A2"/>
    <w:rsid w:val="00703AD9"/>
    <w:rsid w:val="00704691"/>
    <w:rsid w:val="00705954"/>
    <w:rsid w:val="00706A01"/>
    <w:rsid w:val="00710E6E"/>
    <w:rsid w:val="00711709"/>
    <w:rsid w:val="00711D28"/>
    <w:rsid w:val="00712C79"/>
    <w:rsid w:val="00714D3E"/>
    <w:rsid w:val="00715716"/>
    <w:rsid w:val="00716C0C"/>
    <w:rsid w:val="0072049F"/>
    <w:rsid w:val="00721B25"/>
    <w:rsid w:val="00723835"/>
    <w:rsid w:val="00723956"/>
    <w:rsid w:val="00723B00"/>
    <w:rsid w:val="00723C85"/>
    <w:rsid w:val="00724166"/>
    <w:rsid w:val="007242C8"/>
    <w:rsid w:val="00725C2E"/>
    <w:rsid w:val="00725CC8"/>
    <w:rsid w:val="00726748"/>
    <w:rsid w:val="00730DD0"/>
    <w:rsid w:val="00732C73"/>
    <w:rsid w:val="007332B7"/>
    <w:rsid w:val="00735554"/>
    <w:rsid w:val="007378B1"/>
    <w:rsid w:val="007415A2"/>
    <w:rsid w:val="00742CC1"/>
    <w:rsid w:val="00745D77"/>
    <w:rsid w:val="00746598"/>
    <w:rsid w:val="00747643"/>
    <w:rsid w:val="00751FF8"/>
    <w:rsid w:val="00753295"/>
    <w:rsid w:val="00753631"/>
    <w:rsid w:val="00754024"/>
    <w:rsid w:val="0075425B"/>
    <w:rsid w:val="00754D35"/>
    <w:rsid w:val="00756C99"/>
    <w:rsid w:val="007576F0"/>
    <w:rsid w:val="00763EDF"/>
    <w:rsid w:val="00770A3E"/>
    <w:rsid w:val="00770B3C"/>
    <w:rsid w:val="007711E9"/>
    <w:rsid w:val="0077580B"/>
    <w:rsid w:val="00777170"/>
    <w:rsid w:val="00777A82"/>
    <w:rsid w:val="00787321"/>
    <w:rsid w:val="007878E6"/>
    <w:rsid w:val="007921EE"/>
    <w:rsid w:val="00792BB6"/>
    <w:rsid w:val="00794A0C"/>
    <w:rsid w:val="007968F2"/>
    <w:rsid w:val="007A1BCE"/>
    <w:rsid w:val="007A2713"/>
    <w:rsid w:val="007A31B7"/>
    <w:rsid w:val="007A3647"/>
    <w:rsid w:val="007A4625"/>
    <w:rsid w:val="007A497B"/>
    <w:rsid w:val="007A4D21"/>
    <w:rsid w:val="007A6B5C"/>
    <w:rsid w:val="007A7513"/>
    <w:rsid w:val="007A7D95"/>
    <w:rsid w:val="007B27D6"/>
    <w:rsid w:val="007B44B0"/>
    <w:rsid w:val="007B4C8B"/>
    <w:rsid w:val="007B789A"/>
    <w:rsid w:val="007C0245"/>
    <w:rsid w:val="007C1EE0"/>
    <w:rsid w:val="007C1EFA"/>
    <w:rsid w:val="007C4555"/>
    <w:rsid w:val="007C47C5"/>
    <w:rsid w:val="007C4C85"/>
    <w:rsid w:val="007C6105"/>
    <w:rsid w:val="007C66F8"/>
    <w:rsid w:val="007C6763"/>
    <w:rsid w:val="007C6A48"/>
    <w:rsid w:val="007C7E86"/>
    <w:rsid w:val="007C7F32"/>
    <w:rsid w:val="007D041A"/>
    <w:rsid w:val="007D063E"/>
    <w:rsid w:val="007D4EF6"/>
    <w:rsid w:val="007D6A28"/>
    <w:rsid w:val="007E15F1"/>
    <w:rsid w:val="007E295E"/>
    <w:rsid w:val="007E48F2"/>
    <w:rsid w:val="007E5D3A"/>
    <w:rsid w:val="007E6538"/>
    <w:rsid w:val="007E6B97"/>
    <w:rsid w:val="007E7985"/>
    <w:rsid w:val="007F0807"/>
    <w:rsid w:val="007F4F58"/>
    <w:rsid w:val="007F527C"/>
    <w:rsid w:val="008002AA"/>
    <w:rsid w:val="008011B1"/>
    <w:rsid w:val="00801C0A"/>
    <w:rsid w:val="00802603"/>
    <w:rsid w:val="00802BB6"/>
    <w:rsid w:val="008031A1"/>
    <w:rsid w:val="00803500"/>
    <w:rsid w:val="008036D4"/>
    <w:rsid w:val="00804739"/>
    <w:rsid w:val="00805D5B"/>
    <w:rsid w:val="00810318"/>
    <w:rsid w:val="008119EE"/>
    <w:rsid w:val="00812983"/>
    <w:rsid w:val="008132C6"/>
    <w:rsid w:val="008135B8"/>
    <w:rsid w:val="00814BBF"/>
    <w:rsid w:val="00815280"/>
    <w:rsid w:val="008173FA"/>
    <w:rsid w:val="0082299B"/>
    <w:rsid w:val="00823A7C"/>
    <w:rsid w:val="00824B56"/>
    <w:rsid w:val="00824B5F"/>
    <w:rsid w:val="00825DC7"/>
    <w:rsid w:val="00826DF8"/>
    <w:rsid w:val="00832296"/>
    <w:rsid w:val="00833A44"/>
    <w:rsid w:val="0083639A"/>
    <w:rsid w:val="008365A0"/>
    <w:rsid w:val="008379B3"/>
    <w:rsid w:val="00842C87"/>
    <w:rsid w:val="0084309C"/>
    <w:rsid w:val="008437C5"/>
    <w:rsid w:val="00844115"/>
    <w:rsid w:val="0084544E"/>
    <w:rsid w:val="008476C5"/>
    <w:rsid w:val="008535FF"/>
    <w:rsid w:val="008574CA"/>
    <w:rsid w:val="00857B22"/>
    <w:rsid w:val="00860397"/>
    <w:rsid w:val="00860519"/>
    <w:rsid w:val="00860665"/>
    <w:rsid w:val="00860A40"/>
    <w:rsid w:val="00860C10"/>
    <w:rsid w:val="00861503"/>
    <w:rsid w:val="0086301C"/>
    <w:rsid w:val="0086483B"/>
    <w:rsid w:val="008669DE"/>
    <w:rsid w:val="00870466"/>
    <w:rsid w:val="008723E3"/>
    <w:rsid w:val="00873790"/>
    <w:rsid w:val="00873A27"/>
    <w:rsid w:val="00876E08"/>
    <w:rsid w:val="00880770"/>
    <w:rsid w:val="0088144D"/>
    <w:rsid w:val="00884C16"/>
    <w:rsid w:val="008911F2"/>
    <w:rsid w:val="008971FC"/>
    <w:rsid w:val="0089758F"/>
    <w:rsid w:val="008A1C91"/>
    <w:rsid w:val="008A1DE0"/>
    <w:rsid w:val="008A3C93"/>
    <w:rsid w:val="008A46E2"/>
    <w:rsid w:val="008A4BCE"/>
    <w:rsid w:val="008A5B72"/>
    <w:rsid w:val="008B1D00"/>
    <w:rsid w:val="008B3212"/>
    <w:rsid w:val="008B51FC"/>
    <w:rsid w:val="008B6353"/>
    <w:rsid w:val="008B73C8"/>
    <w:rsid w:val="008C1DE2"/>
    <w:rsid w:val="008C3E7E"/>
    <w:rsid w:val="008C6295"/>
    <w:rsid w:val="008D0389"/>
    <w:rsid w:val="008D27A6"/>
    <w:rsid w:val="008D38E0"/>
    <w:rsid w:val="008D5F0F"/>
    <w:rsid w:val="008D64AA"/>
    <w:rsid w:val="008D7326"/>
    <w:rsid w:val="008D7C45"/>
    <w:rsid w:val="008E05B5"/>
    <w:rsid w:val="008E1AA9"/>
    <w:rsid w:val="008E2B42"/>
    <w:rsid w:val="008E2E15"/>
    <w:rsid w:val="008E451E"/>
    <w:rsid w:val="008E4878"/>
    <w:rsid w:val="008E526D"/>
    <w:rsid w:val="008E685E"/>
    <w:rsid w:val="008E6D5B"/>
    <w:rsid w:val="008E71E0"/>
    <w:rsid w:val="008F26C2"/>
    <w:rsid w:val="008F313F"/>
    <w:rsid w:val="008F3D9B"/>
    <w:rsid w:val="008F4C97"/>
    <w:rsid w:val="008F56B6"/>
    <w:rsid w:val="008F57AC"/>
    <w:rsid w:val="008F7D5F"/>
    <w:rsid w:val="009017B0"/>
    <w:rsid w:val="00901CBD"/>
    <w:rsid w:val="00902552"/>
    <w:rsid w:val="00903578"/>
    <w:rsid w:val="009055B6"/>
    <w:rsid w:val="009055BC"/>
    <w:rsid w:val="00905CE4"/>
    <w:rsid w:val="009063AE"/>
    <w:rsid w:val="0091105B"/>
    <w:rsid w:val="00913EDC"/>
    <w:rsid w:val="0091410D"/>
    <w:rsid w:val="00917010"/>
    <w:rsid w:val="0091747C"/>
    <w:rsid w:val="009209C5"/>
    <w:rsid w:val="00921A81"/>
    <w:rsid w:val="00925A12"/>
    <w:rsid w:val="00926191"/>
    <w:rsid w:val="00926CC0"/>
    <w:rsid w:val="0093063D"/>
    <w:rsid w:val="00930A68"/>
    <w:rsid w:val="0093333A"/>
    <w:rsid w:val="00937150"/>
    <w:rsid w:val="00941BD2"/>
    <w:rsid w:val="00945C4E"/>
    <w:rsid w:val="00946985"/>
    <w:rsid w:val="009526E5"/>
    <w:rsid w:val="00952EF7"/>
    <w:rsid w:val="009545C3"/>
    <w:rsid w:val="00956AC0"/>
    <w:rsid w:val="00957924"/>
    <w:rsid w:val="0096120D"/>
    <w:rsid w:val="00962A85"/>
    <w:rsid w:val="00964644"/>
    <w:rsid w:val="0096783B"/>
    <w:rsid w:val="009679FC"/>
    <w:rsid w:val="009701A2"/>
    <w:rsid w:val="0097195B"/>
    <w:rsid w:val="00971E83"/>
    <w:rsid w:val="00972E18"/>
    <w:rsid w:val="00973230"/>
    <w:rsid w:val="0097524F"/>
    <w:rsid w:val="00975295"/>
    <w:rsid w:val="009764C6"/>
    <w:rsid w:val="00977E8B"/>
    <w:rsid w:val="00980566"/>
    <w:rsid w:val="00982DC6"/>
    <w:rsid w:val="00987040"/>
    <w:rsid w:val="009902B9"/>
    <w:rsid w:val="00990668"/>
    <w:rsid w:val="00990ABF"/>
    <w:rsid w:val="0099328D"/>
    <w:rsid w:val="00993371"/>
    <w:rsid w:val="0099375D"/>
    <w:rsid w:val="0099517B"/>
    <w:rsid w:val="0099627C"/>
    <w:rsid w:val="00997AE6"/>
    <w:rsid w:val="009A310C"/>
    <w:rsid w:val="009A3FBE"/>
    <w:rsid w:val="009A42B7"/>
    <w:rsid w:val="009A5F4C"/>
    <w:rsid w:val="009A5FBB"/>
    <w:rsid w:val="009A6E17"/>
    <w:rsid w:val="009B0C42"/>
    <w:rsid w:val="009B22D9"/>
    <w:rsid w:val="009B417E"/>
    <w:rsid w:val="009B471F"/>
    <w:rsid w:val="009B53CC"/>
    <w:rsid w:val="009B5F66"/>
    <w:rsid w:val="009B66E4"/>
    <w:rsid w:val="009C10C3"/>
    <w:rsid w:val="009C1475"/>
    <w:rsid w:val="009C2265"/>
    <w:rsid w:val="009C3397"/>
    <w:rsid w:val="009C43F0"/>
    <w:rsid w:val="009C56C1"/>
    <w:rsid w:val="009C702B"/>
    <w:rsid w:val="009D7250"/>
    <w:rsid w:val="009E0FA7"/>
    <w:rsid w:val="009E2B47"/>
    <w:rsid w:val="009E384E"/>
    <w:rsid w:val="009E4B40"/>
    <w:rsid w:val="009E59AA"/>
    <w:rsid w:val="009E7AEB"/>
    <w:rsid w:val="009F0F86"/>
    <w:rsid w:val="009F1E18"/>
    <w:rsid w:val="009F211E"/>
    <w:rsid w:val="009F3AC6"/>
    <w:rsid w:val="009F6608"/>
    <w:rsid w:val="009F697A"/>
    <w:rsid w:val="00A00448"/>
    <w:rsid w:val="00A025C0"/>
    <w:rsid w:val="00A03D54"/>
    <w:rsid w:val="00A04BD9"/>
    <w:rsid w:val="00A06DB8"/>
    <w:rsid w:val="00A07375"/>
    <w:rsid w:val="00A10A22"/>
    <w:rsid w:val="00A11CB4"/>
    <w:rsid w:val="00A12259"/>
    <w:rsid w:val="00A1272D"/>
    <w:rsid w:val="00A12E71"/>
    <w:rsid w:val="00A135A7"/>
    <w:rsid w:val="00A15204"/>
    <w:rsid w:val="00A17925"/>
    <w:rsid w:val="00A22D53"/>
    <w:rsid w:val="00A231FA"/>
    <w:rsid w:val="00A27174"/>
    <w:rsid w:val="00A4177E"/>
    <w:rsid w:val="00A4440F"/>
    <w:rsid w:val="00A459B0"/>
    <w:rsid w:val="00A459E7"/>
    <w:rsid w:val="00A4643B"/>
    <w:rsid w:val="00A507F6"/>
    <w:rsid w:val="00A521DD"/>
    <w:rsid w:val="00A53232"/>
    <w:rsid w:val="00A56470"/>
    <w:rsid w:val="00A57409"/>
    <w:rsid w:val="00A604A7"/>
    <w:rsid w:val="00A61CAE"/>
    <w:rsid w:val="00A62371"/>
    <w:rsid w:val="00A625DE"/>
    <w:rsid w:val="00A63030"/>
    <w:rsid w:val="00A631ED"/>
    <w:rsid w:val="00A64331"/>
    <w:rsid w:val="00A6459D"/>
    <w:rsid w:val="00A65BF7"/>
    <w:rsid w:val="00A6792E"/>
    <w:rsid w:val="00A711A6"/>
    <w:rsid w:val="00A71930"/>
    <w:rsid w:val="00A73B24"/>
    <w:rsid w:val="00A73E0A"/>
    <w:rsid w:val="00A74A8D"/>
    <w:rsid w:val="00A75724"/>
    <w:rsid w:val="00A77A00"/>
    <w:rsid w:val="00A8067C"/>
    <w:rsid w:val="00A81339"/>
    <w:rsid w:val="00A82B44"/>
    <w:rsid w:val="00A8321E"/>
    <w:rsid w:val="00A8436F"/>
    <w:rsid w:val="00A856D5"/>
    <w:rsid w:val="00A857CE"/>
    <w:rsid w:val="00A92119"/>
    <w:rsid w:val="00A93DD5"/>
    <w:rsid w:val="00A94819"/>
    <w:rsid w:val="00A94EF5"/>
    <w:rsid w:val="00A95ACF"/>
    <w:rsid w:val="00AA001B"/>
    <w:rsid w:val="00AA1661"/>
    <w:rsid w:val="00AA276B"/>
    <w:rsid w:val="00AA3D18"/>
    <w:rsid w:val="00AA46ED"/>
    <w:rsid w:val="00AA7C13"/>
    <w:rsid w:val="00AB1758"/>
    <w:rsid w:val="00AB1CB0"/>
    <w:rsid w:val="00AB22C4"/>
    <w:rsid w:val="00AB42AE"/>
    <w:rsid w:val="00AB5531"/>
    <w:rsid w:val="00AB6016"/>
    <w:rsid w:val="00AB663E"/>
    <w:rsid w:val="00AB6BA2"/>
    <w:rsid w:val="00AB7E8C"/>
    <w:rsid w:val="00AC170E"/>
    <w:rsid w:val="00AC2A12"/>
    <w:rsid w:val="00AC43D1"/>
    <w:rsid w:val="00AC49D9"/>
    <w:rsid w:val="00AC5520"/>
    <w:rsid w:val="00AC6797"/>
    <w:rsid w:val="00AC7A6D"/>
    <w:rsid w:val="00AC7C88"/>
    <w:rsid w:val="00AC7CA0"/>
    <w:rsid w:val="00AD0D0E"/>
    <w:rsid w:val="00AD2762"/>
    <w:rsid w:val="00AD2E19"/>
    <w:rsid w:val="00AD453E"/>
    <w:rsid w:val="00AD5016"/>
    <w:rsid w:val="00AD7A00"/>
    <w:rsid w:val="00AD7C62"/>
    <w:rsid w:val="00AD7ED9"/>
    <w:rsid w:val="00AE2306"/>
    <w:rsid w:val="00AE25AD"/>
    <w:rsid w:val="00AE3740"/>
    <w:rsid w:val="00AE37DA"/>
    <w:rsid w:val="00AF0AEB"/>
    <w:rsid w:val="00AF1365"/>
    <w:rsid w:val="00AF2F8A"/>
    <w:rsid w:val="00AF36DD"/>
    <w:rsid w:val="00AF5BE7"/>
    <w:rsid w:val="00AF6C33"/>
    <w:rsid w:val="00B04398"/>
    <w:rsid w:val="00B06755"/>
    <w:rsid w:val="00B06B63"/>
    <w:rsid w:val="00B10E95"/>
    <w:rsid w:val="00B11797"/>
    <w:rsid w:val="00B12528"/>
    <w:rsid w:val="00B13A1C"/>
    <w:rsid w:val="00B13EAA"/>
    <w:rsid w:val="00B14671"/>
    <w:rsid w:val="00B1661F"/>
    <w:rsid w:val="00B1681E"/>
    <w:rsid w:val="00B17656"/>
    <w:rsid w:val="00B17BBC"/>
    <w:rsid w:val="00B17F10"/>
    <w:rsid w:val="00B20634"/>
    <w:rsid w:val="00B269C6"/>
    <w:rsid w:val="00B279D5"/>
    <w:rsid w:val="00B327A5"/>
    <w:rsid w:val="00B3603F"/>
    <w:rsid w:val="00B40C9B"/>
    <w:rsid w:val="00B41941"/>
    <w:rsid w:val="00B41AAC"/>
    <w:rsid w:val="00B42B3B"/>
    <w:rsid w:val="00B45F99"/>
    <w:rsid w:val="00B478BF"/>
    <w:rsid w:val="00B47D73"/>
    <w:rsid w:val="00B510AA"/>
    <w:rsid w:val="00B52DFE"/>
    <w:rsid w:val="00B5321D"/>
    <w:rsid w:val="00B55DB2"/>
    <w:rsid w:val="00B56EEA"/>
    <w:rsid w:val="00B629B6"/>
    <w:rsid w:val="00B62AFF"/>
    <w:rsid w:val="00B640EC"/>
    <w:rsid w:val="00B64637"/>
    <w:rsid w:val="00B64C1F"/>
    <w:rsid w:val="00B65904"/>
    <w:rsid w:val="00B65BF1"/>
    <w:rsid w:val="00B65C11"/>
    <w:rsid w:val="00B7018A"/>
    <w:rsid w:val="00B710E3"/>
    <w:rsid w:val="00B73B33"/>
    <w:rsid w:val="00B73D4B"/>
    <w:rsid w:val="00B74C03"/>
    <w:rsid w:val="00B7759D"/>
    <w:rsid w:val="00B775B1"/>
    <w:rsid w:val="00B775FC"/>
    <w:rsid w:val="00B77CCB"/>
    <w:rsid w:val="00B827F3"/>
    <w:rsid w:val="00B84FF4"/>
    <w:rsid w:val="00B850B6"/>
    <w:rsid w:val="00B872B0"/>
    <w:rsid w:val="00B9124B"/>
    <w:rsid w:val="00B92535"/>
    <w:rsid w:val="00B93A0D"/>
    <w:rsid w:val="00B93D6F"/>
    <w:rsid w:val="00BA7A44"/>
    <w:rsid w:val="00BB08ED"/>
    <w:rsid w:val="00BB34A7"/>
    <w:rsid w:val="00BB34FD"/>
    <w:rsid w:val="00BB3D0F"/>
    <w:rsid w:val="00BB49E5"/>
    <w:rsid w:val="00BB4C71"/>
    <w:rsid w:val="00BC100B"/>
    <w:rsid w:val="00BC2467"/>
    <w:rsid w:val="00BC3E58"/>
    <w:rsid w:val="00BC7A43"/>
    <w:rsid w:val="00BD1534"/>
    <w:rsid w:val="00BD1B8C"/>
    <w:rsid w:val="00BD3CDB"/>
    <w:rsid w:val="00BD4458"/>
    <w:rsid w:val="00BE1723"/>
    <w:rsid w:val="00BE4165"/>
    <w:rsid w:val="00BE4C2B"/>
    <w:rsid w:val="00BE599E"/>
    <w:rsid w:val="00BF050B"/>
    <w:rsid w:val="00BF1232"/>
    <w:rsid w:val="00BF150C"/>
    <w:rsid w:val="00BF5F0D"/>
    <w:rsid w:val="00BF619F"/>
    <w:rsid w:val="00BF6755"/>
    <w:rsid w:val="00C00C12"/>
    <w:rsid w:val="00C03AD7"/>
    <w:rsid w:val="00C06368"/>
    <w:rsid w:val="00C067D6"/>
    <w:rsid w:val="00C06A17"/>
    <w:rsid w:val="00C101FD"/>
    <w:rsid w:val="00C10206"/>
    <w:rsid w:val="00C10320"/>
    <w:rsid w:val="00C1187D"/>
    <w:rsid w:val="00C139B2"/>
    <w:rsid w:val="00C13B8C"/>
    <w:rsid w:val="00C14079"/>
    <w:rsid w:val="00C153A4"/>
    <w:rsid w:val="00C20CD1"/>
    <w:rsid w:val="00C2381D"/>
    <w:rsid w:val="00C24254"/>
    <w:rsid w:val="00C27526"/>
    <w:rsid w:val="00C31881"/>
    <w:rsid w:val="00C32E82"/>
    <w:rsid w:val="00C37692"/>
    <w:rsid w:val="00C37D03"/>
    <w:rsid w:val="00C4044E"/>
    <w:rsid w:val="00C44EA8"/>
    <w:rsid w:val="00C47B59"/>
    <w:rsid w:val="00C501FE"/>
    <w:rsid w:val="00C506FC"/>
    <w:rsid w:val="00C52893"/>
    <w:rsid w:val="00C549E4"/>
    <w:rsid w:val="00C550DD"/>
    <w:rsid w:val="00C55BB3"/>
    <w:rsid w:val="00C601C6"/>
    <w:rsid w:val="00C6221D"/>
    <w:rsid w:val="00C63082"/>
    <w:rsid w:val="00C65EE0"/>
    <w:rsid w:val="00C73CF4"/>
    <w:rsid w:val="00C73FEF"/>
    <w:rsid w:val="00C747C9"/>
    <w:rsid w:val="00C74FE9"/>
    <w:rsid w:val="00C759DF"/>
    <w:rsid w:val="00C76852"/>
    <w:rsid w:val="00C77386"/>
    <w:rsid w:val="00C800C6"/>
    <w:rsid w:val="00C80639"/>
    <w:rsid w:val="00C81218"/>
    <w:rsid w:val="00C823BD"/>
    <w:rsid w:val="00C824D0"/>
    <w:rsid w:val="00C82DA1"/>
    <w:rsid w:val="00C841DE"/>
    <w:rsid w:val="00C841F0"/>
    <w:rsid w:val="00C855EB"/>
    <w:rsid w:val="00C8584A"/>
    <w:rsid w:val="00C85C3D"/>
    <w:rsid w:val="00C905DF"/>
    <w:rsid w:val="00C90C67"/>
    <w:rsid w:val="00C91253"/>
    <w:rsid w:val="00C9291F"/>
    <w:rsid w:val="00C92E87"/>
    <w:rsid w:val="00C92F9C"/>
    <w:rsid w:val="00C93E9F"/>
    <w:rsid w:val="00C94A12"/>
    <w:rsid w:val="00C969F6"/>
    <w:rsid w:val="00CA073B"/>
    <w:rsid w:val="00CA0DD2"/>
    <w:rsid w:val="00CA2D14"/>
    <w:rsid w:val="00CA2D6C"/>
    <w:rsid w:val="00CA2F85"/>
    <w:rsid w:val="00CA357F"/>
    <w:rsid w:val="00CA3593"/>
    <w:rsid w:val="00CA42BB"/>
    <w:rsid w:val="00CA68A6"/>
    <w:rsid w:val="00CA6AFA"/>
    <w:rsid w:val="00CA6B88"/>
    <w:rsid w:val="00CB4327"/>
    <w:rsid w:val="00CB4691"/>
    <w:rsid w:val="00CB4765"/>
    <w:rsid w:val="00CB763C"/>
    <w:rsid w:val="00CB7DA2"/>
    <w:rsid w:val="00CC2E8B"/>
    <w:rsid w:val="00CC4375"/>
    <w:rsid w:val="00CC43C4"/>
    <w:rsid w:val="00CC64A0"/>
    <w:rsid w:val="00CC771F"/>
    <w:rsid w:val="00CC7909"/>
    <w:rsid w:val="00CD06B5"/>
    <w:rsid w:val="00CD0B4E"/>
    <w:rsid w:val="00CD2932"/>
    <w:rsid w:val="00CD2CED"/>
    <w:rsid w:val="00CD517A"/>
    <w:rsid w:val="00CD6500"/>
    <w:rsid w:val="00CD66A4"/>
    <w:rsid w:val="00CD677D"/>
    <w:rsid w:val="00CD72C3"/>
    <w:rsid w:val="00CE418D"/>
    <w:rsid w:val="00CE63AA"/>
    <w:rsid w:val="00CF0298"/>
    <w:rsid w:val="00CF1D41"/>
    <w:rsid w:val="00CF1EAB"/>
    <w:rsid w:val="00CF22E7"/>
    <w:rsid w:val="00CF2C9F"/>
    <w:rsid w:val="00D0449B"/>
    <w:rsid w:val="00D057B8"/>
    <w:rsid w:val="00D06A85"/>
    <w:rsid w:val="00D079F3"/>
    <w:rsid w:val="00D07BE9"/>
    <w:rsid w:val="00D11143"/>
    <w:rsid w:val="00D1294B"/>
    <w:rsid w:val="00D12F3D"/>
    <w:rsid w:val="00D15532"/>
    <w:rsid w:val="00D17B40"/>
    <w:rsid w:val="00D22281"/>
    <w:rsid w:val="00D24C0A"/>
    <w:rsid w:val="00D25F05"/>
    <w:rsid w:val="00D2766F"/>
    <w:rsid w:val="00D27C98"/>
    <w:rsid w:val="00D3095B"/>
    <w:rsid w:val="00D32377"/>
    <w:rsid w:val="00D32D6B"/>
    <w:rsid w:val="00D32F59"/>
    <w:rsid w:val="00D3331F"/>
    <w:rsid w:val="00D3523A"/>
    <w:rsid w:val="00D35837"/>
    <w:rsid w:val="00D37197"/>
    <w:rsid w:val="00D37238"/>
    <w:rsid w:val="00D37D97"/>
    <w:rsid w:val="00D426D0"/>
    <w:rsid w:val="00D433CE"/>
    <w:rsid w:val="00D434B1"/>
    <w:rsid w:val="00D46EF7"/>
    <w:rsid w:val="00D47909"/>
    <w:rsid w:val="00D50AD6"/>
    <w:rsid w:val="00D5243C"/>
    <w:rsid w:val="00D54B08"/>
    <w:rsid w:val="00D5714E"/>
    <w:rsid w:val="00D6058B"/>
    <w:rsid w:val="00D62AE1"/>
    <w:rsid w:val="00D65A07"/>
    <w:rsid w:val="00D67EDA"/>
    <w:rsid w:val="00D70929"/>
    <w:rsid w:val="00D70A9D"/>
    <w:rsid w:val="00D7558B"/>
    <w:rsid w:val="00D75E62"/>
    <w:rsid w:val="00D7731B"/>
    <w:rsid w:val="00D833FD"/>
    <w:rsid w:val="00D84DDF"/>
    <w:rsid w:val="00D8502D"/>
    <w:rsid w:val="00D85CB5"/>
    <w:rsid w:val="00D85D3A"/>
    <w:rsid w:val="00D86C3E"/>
    <w:rsid w:val="00D87CD6"/>
    <w:rsid w:val="00D90682"/>
    <w:rsid w:val="00D91BCB"/>
    <w:rsid w:val="00D91EB4"/>
    <w:rsid w:val="00D94642"/>
    <w:rsid w:val="00D954F5"/>
    <w:rsid w:val="00D9575B"/>
    <w:rsid w:val="00D96168"/>
    <w:rsid w:val="00DA005F"/>
    <w:rsid w:val="00DA3FF1"/>
    <w:rsid w:val="00DA57A0"/>
    <w:rsid w:val="00DA713E"/>
    <w:rsid w:val="00DB00BC"/>
    <w:rsid w:val="00DB00E9"/>
    <w:rsid w:val="00DB47C9"/>
    <w:rsid w:val="00DB4C8E"/>
    <w:rsid w:val="00DB565B"/>
    <w:rsid w:val="00DB5899"/>
    <w:rsid w:val="00DB7BE4"/>
    <w:rsid w:val="00DB7E29"/>
    <w:rsid w:val="00DC0397"/>
    <w:rsid w:val="00DC13F0"/>
    <w:rsid w:val="00DC19ED"/>
    <w:rsid w:val="00DC2CE0"/>
    <w:rsid w:val="00DC3F9E"/>
    <w:rsid w:val="00DC71CA"/>
    <w:rsid w:val="00DD1FE9"/>
    <w:rsid w:val="00DD215A"/>
    <w:rsid w:val="00DD2EED"/>
    <w:rsid w:val="00DD31D7"/>
    <w:rsid w:val="00DD3549"/>
    <w:rsid w:val="00DD648E"/>
    <w:rsid w:val="00DD68D8"/>
    <w:rsid w:val="00DE17BF"/>
    <w:rsid w:val="00DE1F20"/>
    <w:rsid w:val="00DE56DD"/>
    <w:rsid w:val="00DE5AEE"/>
    <w:rsid w:val="00DE5F4A"/>
    <w:rsid w:val="00DE73B7"/>
    <w:rsid w:val="00DF12EA"/>
    <w:rsid w:val="00DF20E8"/>
    <w:rsid w:val="00DF316F"/>
    <w:rsid w:val="00DF37AB"/>
    <w:rsid w:val="00DF397F"/>
    <w:rsid w:val="00DF49CD"/>
    <w:rsid w:val="00DF5CFA"/>
    <w:rsid w:val="00DF68B9"/>
    <w:rsid w:val="00DF6BB6"/>
    <w:rsid w:val="00DF7C6B"/>
    <w:rsid w:val="00DF7E3B"/>
    <w:rsid w:val="00E0217B"/>
    <w:rsid w:val="00E033C9"/>
    <w:rsid w:val="00E03A2A"/>
    <w:rsid w:val="00E03EB0"/>
    <w:rsid w:val="00E0445F"/>
    <w:rsid w:val="00E05B11"/>
    <w:rsid w:val="00E07764"/>
    <w:rsid w:val="00E113BD"/>
    <w:rsid w:val="00E12BB5"/>
    <w:rsid w:val="00E14046"/>
    <w:rsid w:val="00E1404A"/>
    <w:rsid w:val="00E14730"/>
    <w:rsid w:val="00E152C3"/>
    <w:rsid w:val="00E160F2"/>
    <w:rsid w:val="00E16602"/>
    <w:rsid w:val="00E1680C"/>
    <w:rsid w:val="00E16F7A"/>
    <w:rsid w:val="00E17931"/>
    <w:rsid w:val="00E20CA4"/>
    <w:rsid w:val="00E21C27"/>
    <w:rsid w:val="00E24405"/>
    <w:rsid w:val="00E24DBC"/>
    <w:rsid w:val="00E253CE"/>
    <w:rsid w:val="00E25D85"/>
    <w:rsid w:val="00E26615"/>
    <w:rsid w:val="00E2739F"/>
    <w:rsid w:val="00E30C50"/>
    <w:rsid w:val="00E30DD2"/>
    <w:rsid w:val="00E31202"/>
    <w:rsid w:val="00E34120"/>
    <w:rsid w:val="00E35ED1"/>
    <w:rsid w:val="00E3778F"/>
    <w:rsid w:val="00E40C45"/>
    <w:rsid w:val="00E43C7F"/>
    <w:rsid w:val="00E449A1"/>
    <w:rsid w:val="00E450F4"/>
    <w:rsid w:val="00E4718C"/>
    <w:rsid w:val="00E54E1E"/>
    <w:rsid w:val="00E55168"/>
    <w:rsid w:val="00E556D1"/>
    <w:rsid w:val="00E612F9"/>
    <w:rsid w:val="00E619BB"/>
    <w:rsid w:val="00E7149C"/>
    <w:rsid w:val="00E7164A"/>
    <w:rsid w:val="00E72652"/>
    <w:rsid w:val="00E73A50"/>
    <w:rsid w:val="00E73A59"/>
    <w:rsid w:val="00E73D45"/>
    <w:rsid w:val="00E749AF"/>
    <w:rsid w:val="00E75549"/>
    <w:rsid w:val="00E76A19"/>
    <w:rsid w:val="00E76B12"/>
    <w:rsid w:val="00E76DBE"/>
    <w:rsid w:val="00E77E09"/>
    <w:rsid w:val="00E8070E"/>
    <w:rsid w:val="00E819E6"/>
    <w:rsid w:val="00E8372B"/>
    <w:rsid w:val="00E863C3"/>
    <w:rsid w:val="00E87557"/>
    <w:rsid w:val="00E876F1"/>
    <w:rsid w:val="00E87BED"/>
    <w:rsid w:val="00E906C8"/>
    <w:rsid w:val="00E90F8A"/>
    <w:rsid w:val="00E91D57"/>
    <w:rsid w:val="00E93363"/>
    <w:rsid w:val="00E945D9"/>
    <w:rsid w:val="00E95D97"/>
    <w:rsid w:val="00E96FD1"/>
    <w:rsid w:val="00E97E76"/>
    <w:rsid w:val="00EA59F0"/>
    <w:rsid w:val="00EA5C27"/>
    <w:rsid w:val="00EA71CB"/>
    <w:rsid w:val="00EB08C3"/>
    <w:rsid w:val="00EB27B1"/>
    <w:rsid w:val="00EB3928"/>
    <w:rsid w:val="00EB3CB5"/>
    <w:rsid w:val="00EB7EB3"/>
    <w:rsid w:val="00EC0A74"/>
    <w:rsid w:val="00EC0BF5"/>
    <w:rsid w:val="00EC162C"/>
    <w:rsid w:val="00EC1924"/>
    <w:rsid w:val="00EC334A"/>
    <w:rsid w:val="00EC5128"/>
    <w:rsid w:val="00EC6719"/>
    <w:rsid w:val="00EC6AB8"/>
    <w:rsid w:val="00EC72D4"/>
    <w:rsid w:val="00EC7B31"/>
    <w:rsid w:val="00ED0C74"/>
    <w:rsid w:val="00ED0EE6"/>
    <w:rsid w:val="00ED25AE"/>
    <w:rsid w:val="00ED38AF"/>
    <w:rsid w:val="00ED403F"/>
    <w:rsid w:val="00ED5EF2"/>
    <w:rsid w:val="00ED60F5"/>
    <w:rsid w:val="00ED668A"/>
    <w:rsid w:val="00EE18A7"/>
    <w:rsid w:val="00EE3155"/>
    <w:rsid w:val="00EE446C"/>
    <w:rsid w:val="00EE44B3"/>
    <w:rsid w:val="00EE5B63"/>
    <w:rsid w:val="00EE5FD6"/>
    <w:rsid w:val="00EE64C6"/>
    <w:rsid w:val="00EE6958"/>
    <w:rsid w:val="00EF2915"/>
    <w:rsid w:val="00EF34C9"/>
    <w:rsid w:val="00EF40CB"/>
    <w:rsid w:val="00EF42AC"/>
    <w:rsid w:val="00EF720E"/>
    <w:rsid w:val="00F00F92"/>
    <w:rsid w:val="00F01117"/>
    <w:rsid w:val="00F01672"/>
    <w:rsid w:val="00F032DB"/>
    <w:rsid w:val="00F033E0"/>
    <w:rsid w:val="00F037F5"/>
    <w:rsid w:val="00F1195D"/>
    <w:rsid w:val="00F12C9F"/>
    <w:rsid w:val="00F1330D"/>
    <w:rsid w:val="00F14376"/>
    <w:rsid w:val="00F14984"/>
    <w:rsid w:val="00F161BA"/>
    <w:rsid w:val="00F17663"/>
    <w:rsid w:val="00F2032B"/>
    <w:rsid w:val="00F22E1C"/>
    <w:rsid w:val="00F264E6"/>
    <w:rsid w:val="00F268D3"/>
    <w:rsid w:val="00F276AC"/>
    <w:rsid w:val="00F3356E"/>
    <w:rsid w:val="00F369D0"/>
    <w:rsid w:val="00F40088"/>
    <w:rsid w:val="00F40F4A"/>
    <w:rsid w:val="00F45188"/>
    <w:rsid w:val="00F4612F"/>
    <w:rsid w:val="00F46D0B"/>
    <w:rsid w:val="00F46DA8"/>
    <w:rsid w:val="00F53203"/>
    <w:rsid w:val="00F53832"/>
    <w:rsid w:val="00F53BF7"/>
    <w:rsid w:val="00F545D5"/>
    <w:rsid w:val="00F54B4C"/>
    <w:rsid w:val="00F54BAE"/>
    <w:rsid w:val="00F54BF2"/>
    <w:rsid w:val="00F5690B"/>
    <w:rsid w:val="00F61527"/>
    <w:rsid w:val="00F624BD"/>
    <w:rsid w:val="00F62CE5"/>
    <w:rsid w:val="00F630B7"/>
    <w:rsid w:val="00F6329B"/>
    <w:rsid w:val="00F66179"/>
    <w:rsid w:val="00F70DE1"/>
    <w:rsid w:val="00F717EF"/>
    <w:rsid w:val="00F7273A"/>
    <w:rsid w:val="00F75A62"/>
    <w:rsid w:val="00F76805"/>
    <w:rsid w:val="00F802EF"/>
    <w:rsid w:val="00F80CC7"/>
    <w:rsid w:val="00F81810"/>
    <w:rsid w:val="00F8194B"/>
    <w:rsid w:val="00F81D6B"/>
    <w:rsid w:val="00F82515"/>
    <w:rsid w:val="00F828B4"/>
    <w:rsid w:val="00F85A47"/>
    <w:rsid w:val="00F865FA"/>
    <w:rsid w:val="00F87E0F"/>
    <w:rsid w:val="00F9030F"/>
    <w:rsid w:val="00F90459"/>
    <w:rsid w:val="00F90B77"/>
    <w:rsid w:val="00F90B78"/>
    <w:rsid w:val="00F9292C"/>
    <w:rsid w:val="00F92FBD"/>
    <w:rsid w:val="00F935CA"/>
    <w:rsid w:val="00F945F9"/>
    <w:rsid w:val="00FA0278"/>
    <w:rsid w:val="00FA09EF"/>
    <w:rsid w:val="00FA3E82"/>
    <w:rsid w:val="00FA48DE"/>
    <w:rsid w:val="00FA4E08"/>
    <w:rsid w:val="00FA5BB5"/>
    <w:rsid w:val="00FA6C91"/>
    <w:rsid w:val="00FA756F"/>
    <w:rsid w:val="00FA76F2"/>
    <w:rsid w:val="00FB252B"/>
    <w:rsid w:val="00FB3675"/>
    <w:rsid w:val="00FB4FDC"/>
    <w:rsid w:val="00FC2EA6"/>
    <w:rsid w:val="00FC7605"/>
    <w:rsid w:val="00FD0231"/>
    <w:rsid w:val="00FD0BD0"/>
    <w:rsid w:val="00FD1B98"/>
    <w:rsid w:val="00FD3CB8"/>
    <w:rsid w:val="00FD3EF8"/>
    <w:rsid w:val="00FD4578"/>
    <w:rsid w:val="00FD4B42"/>
    <w:rsid w:val="00FD53CE"/>
    <w:rsid w:val="00FD6EB4"/>
    <w:rsid w:val="00FD7A89"/>
    <w:rsid w:val="00FE16E3"/>
    <w:rsid w:val="00FE187E"/>
    <w:rsid w:val="00FE2378"/>
    <w:rsid w:val="00FE417C"/>
    <w:rsid w:val="00FE57A9"/>
    <w:rsid w:val="00FE5BA0"/>
    <w:rsid w:val="00FE66A7"/>
    <w:rsid w:val="00FF00AB"/>
    <w:rsid w:val="00FF13DC"/>
    <w:rsid w:val="00FF1AAC"/>
    <w:rsid w:val="00FF220E"/>
    <w:rsid w:val="00FF243E"/>
    <w:rsid w:val="00FF38C5"/>
    <w:rsid w:val="00FF59E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margin;mso-position-vertical:top;mso-position-vertical-relative:margin" fillcolor="none [2732]">
      <v:fill color="none [2732]" color2="#d8d8d8" focusposition="1" focussize="" focus="-50%" type="gradient"/>
      <v:stroke weight="1.5pt"/>
      <v:shadow on="t" color="#7f7f7f" opacity=".5" offset="6pt,-6pt"/>
    </o:shapedefaults>
    <o:shapelayout v:ext="edit">
      <o:idmap v:ext="edit" data="2"/>
    </o:shapelayout>
  </w:shapeDefaults>
  <w:decimalSymbol w:val="."/>
  <w:listSeparator w:val=","/>
  <w14:docId w14:val="52D42228"/>
  <w15:chartTrackingRefBased/>
  <w15:docId w15:val="{C89E8A82-6163-C14A-BCEE-F2BADBD3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81C"/>
    <w:pPr>
      <w:bidi/>
      <w:spacing w:after="200" w:line="276" w:lineRule="auto"/>
    </w:pPr>
    <w:rPr>
      <w:sz w:val="22"/>
      <w:szCs w:val="22"/>
    </w:rPr>
  </w:style>
  <w:style w:type="paragraph" w:styleId="Heading1">
    <w:name w:val="heading 1"/>
    <w:basedOn w:val="Normal"/>
    <w:next w:val="Normal"/>
    <w:link w:val="Heading1Char1"/>
    <w:uiPriority w:val="9"/>
    <w:qFormat/>
    <w:rsid w:val="00B043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62AFF"/>
    <w:pPr>
      <w:keepNext/>
      <w:keepLines/>
      <w:spacing w:before="200" w:after="0"/>
      <w:outlineLvl w:val="1"/>
    </w:pPr>
    <w:rPr>
      <w:rFonts w:ascii="Cambria" w:hAnsi="Cambria" w:cs="Times New Roman"/>
      <w:b/>
      <w:bCs/>
      <w:color w:val="4F81BD"/>
      <w:sz w:val="26"/>
      <w:szCs w:val="26"/>
    </w:rPr>
  </w:style>
  <w:style w:type="paragraph" w:styleId="Heading3">
    <w:name w:val="heading 3"/>
    <w:basedOn w:val="Normal"/>
    <w:next w:val="Normal"/>
    <w:link w:val="Heading3Char"/>
    <w:uiPriority w:val="9"/>
    <w:unhideWhenUsed/>
    <w:qFormat/>
    <w:rsid w:val="00160B21"/>
    <w:pPr>
      <w:keepNext/>
      <w:keepLines/>
      <w:spacing w:before="40" w:after="0" w:line="240" w:lineRule="auto"/>
      <w:jc w:val="center"/>
      <w:outlineLvl w:val="2"/>
    </w:pPr>
    <w:rPr>
      <w:rFonts w:ascii="Calibri Light" w:hAnsi="Calibri Light" w:cs="Simplified Arabic"/>
      <w:bCs/>
      <w:sz w:val="24"/>
      <w:szCs w:val="32"/>
    </w:rPr>
  </w:style>
  <w:style w:type="paragraph" w:styleId="Heading4">
    <w:name w:val="heading 4"/>
    <w:basedOn w:val="Normal"/>
    <w:next w:val="Normal"/>
    <w:link w:val="Heading4Char"/>
    <w:uiPriority w:val="9"/>
    <w:unhideWhenUsed/>
    <w:qFormat/>
    <w:rsid w:val="00160B21"/>
    <w:pPr>
      <w:keepNext/>
      <w:keepLines/>
      <w:spacing w:before="40" w:after="0" w:line="240" w:lineRule="auto"/>
      <w:jc w:val="center"/>
      <w:outlineLvl w:val="3"/>
    </w:pPr>
    <w:rPr>
      <w:rFonts w:ascii="Calibri Light" w:hAnsi="Calibri Light" w:cs="Simplified Arabic"/>
      <w:i/>
      <w:sz w:val="24"/>
      <w:szCs w:val="28"/>
    </w:rPr>
  </w:style>
  <w:style w:type="paragraph" w:styleId="Heading5">
    <w:name w:val="heading 5"/>
    <w:basedOn w:val="Normal"/>
    <w:next w:val="Normal"/>
    <w:link w:val="Heading5Char"/>
    <w:uiPriority w:val="9"/>
    <w:semiHidden/>
    <w:unhideWhenUsed/>
    <w:qFormat/>
    <w:rsid w:val="00B62AF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04398"/>
    <w:pPr>
      <w:keepNext/>
      <w:keepLines/>
      <w:bidi w:val="0"/>
      <w:spacing w:before="200" w:after="0" w:line="480" w:lineRule="auto"/>
      <w:outlineLvl w:val="5"/>
    </w:pPr>
    <w:rPr>
      <w:rFonts w:asciiTheme="majorHAnsi" w:eastAsiaTheme="majorEastAsia" w:hAnsiTheme="majorHAnsi" w:cstheme="majorBidi"/>
      <w:i/>
      <w:iCs/>
      <w:color w:val="1F3763" w:themeColor="accent1" w:themeShade="7F"/>
      <w:lang w:val="fr-FR"/>
    </w:rPr>
  </w:style>
  <w:style w:type="paragraph" w:styleId="Heading7">
    <w:name w:val="heading 7"/>
    <w:basedOn w:val="Normal"/>
    <w:next w:val="Normal"/>
    <w:link w:val="Heading7Char"/>
    <w:uiPriority w:val="9"/>
    <w:semiHidden/>
    <w:unhideWhenUsed/>
    <w:qFormat/>
    <w:rsid w:val="00B04398"/>
    <w:pPr>
      <w:keepNext/>
      <w:keepLines/>
      <w:bidi w:val="0"/>
      <w:spacing w:before="200" w:after="0" w:line="480" w:lineRule="auto"/>
      <w:outlineLvl w:val="6"/>
    </w:pPr>
    <w:rPr>
      <w:rFonts w:asciiTheme="majorHAnsi" w:eastAsiaTheme="majorEastAsia" w:hAnsiTheme="majorHAnsi" w:cstheme="majorBidi"/>
      <w:i/>
      <w:iCs/>
      <w:color w:val="404040" w:themeColor="text1" w:themeTint="BF"/>
      <w:lang w:val="fr-FR"/>
    </w:rPr>
  </w:style>
  <w:style w:type="paragraph" w:styleId="Heading8">
    <w:name w:val="heading 8"/>
    <w:basedOn w:val="Normal"/>
    <w:next w:val="Normal"/>
    <w:link w:val="Heading8Char"/>
    <w:uiPriority w:val="9"/>
    <w:semiHidden/>
    <w:unhideWhenUsed/>
    <w:qFormat/>
    <w:rsid w:val="00B04398"/>
    <w:pPr>
      <w:keepNext/>
      <w:keepLines/>
      <w:bidi w:val="0"/>
      <w:spacing w:before="200" w:after="0" w:line="480" w:lineRule="auto"/>
      <w:outlineLvl w:val="7"/>
    </w:pPr>
    <w:rPr>
      <w:rFonts w:asciiTheme="majorHAnsi" w:eastAsiaTheme="majorEastAsia" w:hAnsiTheme="majorHAnsi" w:cstheme="majorBidi"/>
      <w:color w:val="4472C4" w:themeColor="accent1"/>
      <w:sz w:val="20"/>
      <w:szCs w:val="20"/>
      <w:lang w:val="fr-FR"/>
    </w:rPr>
  </w:style>
  <w:style w:type="paragraph" w:styleId="Heading9">
    <w:name w:val="heading 9"/>
    <w:basedOn w:val="Normal"/>
    <w:next w:val="Normal"/>
    <w:link w:val="Heading9Char"/>
    <w:uiPriority w:val="9"/>
    <w:semiHidden/>
    <w:unhideWhenUsed/>
    <w:qFormat/>
    <w:rsid w:val="00B04398"/>
    <w:pPr>
      <w:keepNext/>
      <w:keepLines/>
      <w:bidi w:val="0"/>
      <w:spacing w:before="200" w:after="0" w:line="480" w:lineRule="auto"/>
      <w:outlineLvl w:val="8"/>
    </w:pPr>
    <w:rPr>
      <w:rFonts w:asciiTheme="majorHAnsi" w:eastAsiaTheme="majorEastAsia" w:hAnsiTheme="majorHAnsi" w:cstheme="majorBidi"/>
      <w:i/>
      <w:iCs/>
      <w:color w:val="404040" w:themeColor="text1" w:themeTint="BF"/>
      <w:sz w:val="2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عنوان 1"/>
    <w:aliases w:val="المتن"/>
    <w:basedOn w:val="Title"/>
    <w:next w:val="Normal"/>
    <w:link w:val="1Char"/>
    <w:uiPriority w:val="9"/>
    <w:qFormat/>
    <w:rsid w:val="00375C8B"/>
    <w:pPr>
      <w:spacing w:after="80"/>
      <w:ind w:firstLine="567"/>
      <w:jc w:val="lowKashida"/>
      <w:outlineLvl w:val="0"/>
    </w:pPr>
    <w:rPr>
      <w:rFonts w:ascii="Simplified Arabic" w:hAnsi="Simplified Arabic" w:cs="Simplified Arabic"/>
      <w:sz w:val="28"/>
      <w:szCs w:val="28"/>
      <w:lang w:bidi="ar-IQ"/>
    </w:rPr>
  </w:style>
  <w:style w:type="character" w:customStyle="1" w:styleId="1Char">
    <w:name w:val="عنوان 1 Char"/>
    <w:aliases w:val="المتن Char"/>
    <w:link w:val="1"/>
    <w:uiPriority w:val="9"/>
    <w:rsid w:val="00375C8B"/>
    <w:rPr>
      <w:rFonts w:ascii="Simplified Arabic" w:hAnsi="Simplified Arabic" w:cs="Simplified Arabic"/>
      <w:spacing w:val="5"/>
      <w:kern w:val="28"/>
      <w:sz w:val="28"/>
      <w:szCs w:val="28"/>
      <w:lang w:bidi="ar-IQ"/>
    </w:rPr>
  </w:style>
  <w:style w:type="paragraph" w:customStyle="1" w:styleId="a0">
    <w:name w:val="سرد الفقرات"/>
    <w:basedOn w:val="Normal"/>
    <w:uiPriority w:val="34"/>
    <w:qFormat/>
    <w:rsid w:val="00FA48DE"/>
    <w:pPr>
      <w:ind w:left="720"/>
      <w:contextualSpacing/>
    </w:pPr>
    <w:rPr>
      <w:rFonts w:eastAsia="Calibri"/>
    </w:rPr>
  </w:style>
  <w:style w:type="paragraph" w:styleId="FootnoteText">
    <w:name w:val="footnote text"/>
    <w:aliases w:val=" Char,Char,5_G,FOOTNOTES,fn,single space,Footnote Text Char1 Char,Footnote Text Char Char Char,Footnote Text Char Char,Footnote Text Char1 Char Char Char Char,Footnote Text Char Char Char Char,Footnote Text Char Char1,ft,FA Fu,f"/>
    <w:basedOn w:val="Normal"/>
    <w:link w:val="FootnoteTextChar"/>
    <w:uiPriority w:val="99"/>
    <w:unhideWhenUsed/>
    <w:qFormat/>
    <w:rsid w:val="00FA48DE"/>
    <w:pPr>
      <w:spacing w:after="0" w:line="240" w:lineRule="auto"/>
    </w:pPr>
    <w:rPr>
      <w:rFonts w:cs="Times New Roman"/>
      <w:sz w:val="20"/>
      <w:szCs w:val="20"/>
      <w:lang w:val="x-none" w:eastAsia="x-none"/>
    </w:rPr>
  </w:style>
  <w:style w:type="character" w:customStyle="1" w:styleId="FootnoteTextChar">
    <w:name w:val="Footnote Text Char"/>
    <w:aliases w:val=" Char Char,Char Char,5_G Char,FOOTNOTES Char,fn Char,single space Char,Footnote Text Char1 Char Char,Footnote Text Char Char Char Char1,Footnote Text Char Char Char1,Footnote Text Char1 Char Char Char Char Char,ft Char,FA Fu Char"/>
    <w:link w:val="FootnoteText"/>
    <w:uiPriority w:val="99"/>
    <w:qFormat/>
    <w:rsid w:val="00FA48DE"/>
    <w:rPr>
      <w:sz w:val="20"/>
      <w:szCs w:val="20"/>
    </w:rPr>
  </w:style>
  <w:style w:type="character" w:styleId="FootnoteReference">
    <w:name w:val="footnote reference"/>
    <w:aliases w:val="Appel note de bas de p.,AA Footnote,عادي1,شماره زيرنويس,My_Footnote_Reference"/>
    <w:uiPriority w:val="99"/>
    <w:unhideWhenUsed/>
    <w:qFormat/>
    <w:rsid w:val="00FA48DE"/>
    <w:rPr>
      <w:vertAlign w:val="superscript"/>
    </w:rPr>
  </w:style>
  <w:style w:type="paragraph" w:styleId="Header">
    <w:name w:val="header"/>
    <w:aliases w:val="رأس صفحة"/>
    <w:basedOn w:val="Normal"/>
    <w:link w:val="HeaderChar"/>
    <w:uiPriority w:val="99"/>
    <w:unhideWhenUsed/>
    <w:rsid w:val="00F4612F"/>
    <w:pPr>
      <w:tabs>
        <w:tab w:val="center" w:pos="4153"/>
        <w:tab w:val="right" w:pos="8306"/>
      </w:tabs>
      <w:spacing w:after="0" w:line="240" w:lineRule="auto"/>
    </w:pPr>
  </w:style>
  <w:style w:type="character" w:customStyle="1" w:styleId="HeaderChar">
    <w:name w:val="Header Char"/>
    <w:aliases w:val="رأس صفحة Char"/>
    <w:basedOn w:val="DefaultParagraphFont"/>
    <w:link w:val="Header"/>
    <w:uiPriority w:val="99"/>
    <w:rsid w:val="00F4612F"/>
  </w:style>
  <w:style w:type="paragraph" w:styleId="Footer">
    <w:name w:val="footer"/>
    <w:aliases w:val="تذييل صفحة"/>
    <w:basedOn w:val="Normal"/>
    <w:link w:val="FooterChar"/>
    <w:uiPriority w:val="99"/>
    <w:unhideWhenUsed/>
    <w:rsid w:val="00F4612F"/>
    <w:pPr>
      <w:tabs>
        <w:tab w:val="center" w:pos="4153"/>
        <w:tab w:val="right" w:pos="8306"/>
      </w:tabs>
      <w:spacing w:after="0" w:line="240" w:lineRule="auto"/>
    </w:pPr>
  </w:style>
  <w:style w:type="character" w:customStyle="1" w:styleId="FooterChar">
    <w:name w:val="Footer Char"/>
    <w:aliases w:val="تذييل صفحة Char"/>
    <w:basedOn w:val="DefaultParagraphFont"/>
    <w:link w:val="Footer"/>
    <w:uiPriority w:val="99"/>
    <w:rsid w:val="00F4612F"/>
  </w:style>
  <w:style w:type="character" w:styleId="Hyperlink">
    <w:name w:val="Hyperlink"/>
    <w:uiPriority w:val="99"/>
    <w:unhideWhenUsed/>
    <w:rsid w:val="001C5242"/>
    <w:rPr>
      <w:color w:val="0000FF"/>
      <w:u w:val="single"/>
    </w:rPr>
  </w:style>
  <w:style w:type="paragraph" w:styleId="BalloonText">
    <w:name w:val="Balloon Text"/>
    <w:basedOn w:val="Normal"/>
    <w:link w:val="BalloonTextChar"/>
    <w:unhideWhenUsed/>
    <w:rsid w:val="001C5242"/>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rsid w:val="001C5242"/>
    <w:rPr>
      <w:rFonts w:ascii="Tahoma" w:hAnsi="Tahoma" w:cs="Tahoma"/>
      <w:sz w:val="16"/>
      <w:szCs w:val="16"/>
    </w:rPr>
  </w:style>
  <w:style w:type="paragraph" w:styleId="BodyText">
    <w:name w:val="Body Text"/>
    <w:basedOn w:val="Normal"/>
    <w:link w:val="BodyTextChar"/>
    <w:qFormat/>
    <w:rsid w:val="00A07375"/>
    <w:pPr>
      <w:spacing w:after="0" w:line="533" w:lineRule="auto"/>
      <w:ind w:left="839" w:right="-119"/>
    </w:pPr>
    <w:rPr>
      <w:rFonts w:ascii="Times New Roman" w:hAnsi="Times New Roman" w:cs="Times New Roman"/>
      <w:sz w:val="40"/>
      <w:szCs w:val="72"/>
      <w:lang w:val="en-GB" w:eastAsia="en-GB"/>
    </w:rPr>
  </w:style>
  <w:style w:type="character" w:customStyle="1" w:styleId="BodyTextChar">
    <w:name w:val="Body Text Char"/>
    <w:link w:val="BodyText"/>
    <w:rsid w:val="00A07375"/>
    <w:rPr>
      <w:rFonts w:ascii="Times New Roman" w:hAnsi="Times New Roman" w:cs="DecoType Thuluth"/>
      <w:sz w:val="40"/>
      <w:szCs w:val="72"/>
      <w:lang w:val="en-GB" w:eastAsia="en-GB"/>
    </w:rPr>
  </w:style>
  <w:style w:type="character" w:styleId="HTMLCite">
    <w:name w:val="HTML Cite"/>
    <w:unhideWhenUsed/>
    <w:rsid w:val="00A07375"/>
    <w:rPr>
      <w:i/>
      <w:iCs/>
    </w:rPr>
  </w:style>
  <w:style w:type="character" w:customStyle="1" w:styleId="Char">
    <w:name w:val="رأس الصفحة Char"/>
    <w:link w:val="10"/>
    <w:uiPriority w:val="99"/>
    <w:rsid w:val="00597375"/>
  </w:style>
  <w:style w:type="paragraph" w:styleId="NoSpacing">
    <w:name w:val="No Spacing"/>
    <w:link w:val="NoSpacingChar"/>
    <w:uiPriority w:val="1"/>
    <w:qFormat/>
    <w:rsid w:val="00597375"/>
    <w:pPr>
      <w:bidi/>
    </w:pPr>
    <w:rPr>
      <w:sz w:val="22"/>
      <w:szCs w:val="22"/>
    </w:rPr>
  </w:style>
  <w:style w:type="character" w:customStyle="1" w:styleId="NoSpacingChar">
    <w:name w:val="No Spacing Char"/>
    <w:link w:val="NoSpacing"/>
    <w:uiPriority w:val="1"/>
    <w:rsid w:val="00597375"/>
    <w:rPr>
      <w:sz w:val="22"/>
      <w:szCs w:val="22"/>
    </w:rPr>
  </w:style>
  <w:style w:type="character" w:customStyle="1" w:styleId="Char0">
    <w:name w:val="تذييل الصفحة Char"/>
    <w:link w:val="11"/>
    <w:uiPriority w:val="99"/>
    <w:rsid w:val="0004119D"/>
    <w:rPr>
      <w:sz w:val="22"/>
      <w:szCs w:val="22"/>
    </w:rPr>
  </w:style>
  <w:style w:type="table" w:styleId="TableGrid">
    <w:name w:val="Table Grid"/>
    <w:basedOn w:val="TableNormal"/>
    <w:uiPriority w:val="39"/>
    <w:rsid w:val="0004119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uiPriority w:val="99"/>
    <w:unhideWhenUsed/>
    <w:rsid w:val="00B9124B"/>
    <w:rPr>
      <w:color w:val="0000FF"/>
      <w:u w:val="single"/>
    </w:rPr>
  </w:style>
  <w:style w:type="paragraph" w:styleId="NormalWeb">
    <w:name w:val="Normal (Web)"/>
    <w:basedOn w:val="Normal"/>
    <w:uiPriority w:val="99"/>
    <w:unhideWhenUsed/>
    <w:qFormat/>
    <w:rsid w:val="0009311A"/>
    <w:pPr>
      <w:bidi w:val="0"/>
      <w:spacing w:before="100" w:beforeAutospacing="1" w:after="100" w:afterAutospacing="1" w:line="240" w:lineRule="auto"/>
    </w:pPr>
    <w:rPr>
      <w:rFonts w:ascii="Times New Roman" w:hAnsi="Times New Roman" w:cs="Times New Roman"/>
      <w:sz w:val="24"/>
      <w:szCs w:val="24"/>
    </w:rPr>
  </w:style>
  <w:style w:type="character" w:styleId="Strong">
    <w:name w:val="Strong"/>
    <w:uiPriority w:val="22"/>
    <w:qFormat/>
    <w:rsid w:val="0009311A"/>
    <w:rPr>
      <w:b/>
      <w:bCs/>
    </w:rPr>
  </w:style>
  <w:style w:type="paragraph" w:customStyle="1" w:styleId="Default">
    <w:name w:val="Default"/>
    <w:rsid w:val="00EC334A"/>
    <w:pPr>
      <w:widowControl w:val="0"/>
      <w:autoSpaceDE w:val="0"/>
      <w:autoSpaceDN w:val="0"/>
      <w:adjustRightInd w:val="0"/>
    </w:pPr>
    <w:rPr>
      <w:rFonts w:ascii="Times New Roman" w:eastAsia="Calibri" w:hAnsi="Times New Roman" w:cs="Times New Roman"/>
      <w:color w:val="000000"/>
      <w:sz w:val="24"/>
      <w:szCs w:val="24"/>
    </w:rPr>
  </w:style>
  <w:style w:type="character" w:styleId="PageNumber">
    <w:name w:val="page number"/>
    <w:uiPriority w:val="99"/>
    <w:rsid w:val="00D32F59"/>
  </w:style>
  <w:style w:type="character" w:styleId="CommentReference">
    <w:name w:val="annotation reference"/>
    <w:uiPriority w:val="99"/>
    <w:semiHidden/>
    <w:rsid w:val="00D32F59"/>
    <w:rPr>
      <w:sz w:val="16"/>
      <w:szCs w:val="16"/>
    </w:rPr>
  </w:style>
  <w:style w:type="paragraph" w:styleId="CommentText">
    <w:name w:val="annotation text"/>
    <w:basedOn w:val="Normal"/>
    <w:link w:val="CommentTextChar"/>
    <w:uiPriority w:val="99"/>
    <w:semiHidden/>
    <w:rsid w:val="00D32F59"/>
    <w:pPr>
      <w:bidi w:val="0"/>
      <w:spacing w:after="0" w:line="240" w:lineRule="auto"/>
    </w:pPr>
    <w:rPr>
      <w:rFonts w:ascii="Times New Roman" w:eastAsia="SimSun" w:hAnsi="Times New Roman" w:cs="Times New Roman"/>
      <w:sz w:val="20"/>
      <w:szCs w:val="20"/>
      <w:lang w:eastAsia="zh-CN"/>
    </w:rPr>
  </w:style>
  <w:style w:type="character" w:customStyle="1" w:styleId="CommentTextChar">
    <w:name w:val="Comment Text Char"/>
    <w:link w:val="CommentText"/>
    <w:uiPriority w:val="99"/>
    <w:semiHidden/>
    <w:rsid w:val="00D32F59"/>
    <w:rPr>
      <w:rFonts w:ascii="Times New Roman" w:eastAsia="SimSun" w:hAnsi="Times New Roman" w:cs="Times New Roman"/>
      <w:lang w:eastAsia="zh-CN"/>
    </w:rPr>
  </w:style>
  <w:style w:type="paragraph" w:styleId="CommentSubject">
    <w:name w:val="annotation subject"/>
    <w:basedOn w:val="CommentText"/>
    <w:next w:val="CommentText"/>
    <w:link w:val="CommentSubjectChar"/>
    <w:uiPriority w:val="99"/>
    <w:semiHidden/>
    <w:rsid w:val="00D32F59"/>
    <w:rPr>
      <w:b/>
      <w:bCs/>
    </w:rPr>
  </w:style>
  <w:style w:type="character" w:customStyle="1" w:styleId="CommentSubjectChar">
    <w:name w:val="Comment Subject Char"/>
    <w:link w:val="CommentSubject"/>
    <w:uiPriority w:val="99"/>
    <w:semiHidden/>
    <w:rsid w:val="00D32F59"/>
    <w:rPr>
      <w:rFonts w:ascii="Times New Roman" w:eastAsia="SimSun" w:hAnsi="Times New Roman" w:cs="Times New Roman"/>
      <w:b/>
      <w:bCs/>
      <w:lang w:eastAsia="zh-CN"/>
    </w:rPr>
  </w:style>
  <w:style w:type="character" w:customStyle="1" w:styleId="apple-converted-space">
    <w:name w:val="apple-converted-space"/>
    <w:rsid w:val="00D32F59"/>
  </w:style>
  <w:style w:type="character" w:customStyle="1" w:styleId="Heading2Char">
    <w:name w:val="Heading 2 Char"/>
    <w:link w:val="Heading2"/>
    <w:uiPriority w:val="9"/>
    <w:rsid w:val="00B62AFF"/>
    <w:rPr>
      <w:rFonts w:ascii="Cambria" w:hAnsi="Cambria" w:cs="Times New Roman"/>
      <w:b/>
      <w:bCs/>
      <w:color w:val="4F81BD"/>
      <w:sz w:val="26"/>
      <w:szCs w:val="26"/>
    </w:rPr>
  </w:style>
  <w:style w:type="character" w:customStyle="1" w:styleId="Heading5Char">
    <w:name w:val="Heading 5 Char"/>
    <w:link w:val="Heading5"/>
    <w:uiPriority w:val="9"/>
    <w:semiHidden/>
    <w:rsid w:val="00B62AFF"/>
    <w:rPr>
      <w:b/>
      <w:bCs/>
      <w:i/>
      <w:iCs/>
      <w:sz w:val="26"/>
      <w:szCs w:val="26"/>
    </w:rPr>
  </w:style>
  <w:style w:type="paragraph" w:customStyle="1" w:styleId="a1">
    <w:basedOn w:val="Normal"/>
    <w:next w:val="Footer"/>
    <w:uiPriority w:val="99"/>
    <w:unhideWhenUsed/>
    <w:rsid w:val="00B62AFF"/>
    <w:pPr>
      <w:tabs>
        <w:tab w:val="center" w:pos="4153"/>
        <w:tab w:val="right" w:pos="8306"/>
      </w:tabs>
      <w:spacing w:after="0" w:line="240" w:lineRule="auto"/>
    </w:pPr>
    <w:rPr>
      <w:sz w:val="20"/>
      <w:szCs w:val="20"/>
    </w:rPr>
  </w:style>
  <w:style w:type="character" w:styleId="PlaceholderText">
    <w:name w:val="Placeholder Text"/>
    <w:uiPriority w:val="99"/>
    <w:semiHidden/>
    <w:rsid w:val="00B62AFF"/>
    <w:rPr>
      <w:color w:val="808080"/>
    </w:rPr>
  </w:style>
  <w:style w:type="paragraph" w:styleId="EndnoteText">
    <w:name w:val="endnote text"/>
    <w:basedOn w:val="Normal"/>
    <w:link w:val="EndnoteTextChar"/>
    <w:uiPriority w:val="99"/>
    <w:unhideWhenUsed/>
    <w:rsid w:val="00B62AFF"/>
    <w:pPr>
      <w:spacing w:after="0" w:line="240" w:lineRule="auto"/>
    </w:pPr>
    <w:rPr>
      <w:rFonts w:ascii="Times New Roman" w:eastAsia="Calibri" w:hAnsi="Times New Roman" w:cs="Simplified Arabic"/>
      <w:sz w:val="20"/>
      <w:szCs w:val="20"/>
    </w:rPr>
  </w:style>
  <w:style w:type="character" w:customStyle="1" w:styleId="EndnoteTextChar">
    <w:name w:val="Endnote Text Char"/>
    <w:link w:val="EndnoteText"/>
    <w:uiPriority w:val="99"/>
    <w:rsid w:val="00B62AFF"/>
    <w:rPr>
      <w:rFonts w:ascii="Times New Roman" w:eastAsia="Calibri" w:hAnsi="Times New Roman" w:cs="Simplified Arabic"/>
    </w:rPr>
  </w:style>
  <w:style w:type="character" w:styleId="EndnoteReference">
    <w:name w:val="endnote reference"/>
    <w:uiPriority w:val="99"/>
    <w:unhideWhenUsed/>
    <w:rsid w:val="00B62AFF"/>
    <w:rPr>
      <w:vertAlign w:val="superscript"/>
    </w:rPr>
  </w:style>
  <w:style w:type="paragraph" w:customStyle="1" w:styleId="a">
    <w:name w:val="خط عادي"/>
    <w:basedOn w:val="Normal"/>
    <w:qFormat/>
    <w:rsid w:val="000B6F62"/>
    <w:pPr>
      <w:numPr>
        <w:numId w:val="1"/>
      </w:numPr>
      <w:spacing w:after="0" w:line="240" w:lineRule="auto"/>
      <w:ind w:left="679"/>
      <w:contextualSpacing/>
      <w:jc w:val="lowKashida"/>
    </w:pPr>
    <w:rPr>
      <w:rFonts w:ascii="Simplified Arabic" w:hAnsi="Simplified Arabic" w:cs="Simplified Arabic"/>
      <w:sz w:val="28"/>
      <w:szCs w:val="28"/>
      <w:lang w:bidi="ar-IQ"/>
    </w:rPr>
  </w:style>
  <w:style w:type="paragraph" w:styleId="Subtitle">
    <w:name w:val="Subtitle"/>
    <w:basedOn w:val="Normal"/>
    <w:next w:val="Normal"/>
    <w:link w:val="SubtitleChar"/>
    <w:uiPriority w:val="11"/>
    <w:qFormat/>
    <w:rsid w:val="00B62AFF"/>
    <w:pPr>
      <w:numPr>
        <w:ilvl w:val="1"/>
      </w:numPr>
    </w:pPr>
    <w:rPr>
      <w:rFonts w:ascii="Cambria" w:hAnsi="Cambria" w:cs="Times New Roman"/>
      <w:i/>
      <w:iCs/>
      <w:color w:val="4F81BD"/>
      <w:spacing w:val="15"/>
      <w:sz w:val="24"/>
      <w:szCs w:val="24"/>
    </w:rPr>
  </w:style>
  <w:style w:type="character" w:customStyle="1" w:styleId="SubtitleChar">
    <w:name w:val="Subtitle Char"/>
    <w:link w:val="Subtitle"/>
    <w:uiPriority w:val="11"/>
    <w:rsid w:val="00B62AFF"/>
    <w:rPr>
      <w:rFonts w:ascii="Cambria" w:hAnsi="Cambria" w:cs="Times New Roman"/>
      <w:i/>
      <w:iCs/>
      <w:color w:val="4F81BD"/>
      <w:spacing w:val="15"/>
      <w:sz w:val="24"/>
      <w:szCs w:val="24"/>
    </w:rPr>
  </w:style>
  <w:style w:type="paragraph" w:styleId="Title">
    <w:name w:val="Title"/>
    <w:aliases w:val="المبحث والمطلب"/>
    <w:basedOn w:val="Normal"/>
    <w:next w:val="Normal"/>
    <w:link w:val="TitleChar"/>
    <w:uiPriority w:val="10"/>
    <w:qFormat/>
    <w:rsid w:val="00700C05"/>
    <w:pPr>
      <w:spacing w:after="0" w:line="240" w:lineRule="auto"/>
      <w:jc w:val="center"/>
    </w:pPr>
    <w:rPr>
      <w:rFonts w:ascii="Cambria" w:hAnsi="Cambria" w:cs="PT Bold Heading"/>
      <w:spacing w:val="5"/>
      <w:kern w:val="28"/>
      <w:sz w:val="32"/>
      <w:szCs w:val="32"/>
    </w:rPr>
  </w:style>
  <w:style w:type="character" w:customStyle="1" w:styleId="TitleChar">
    <w:name w:val="Title Char"/>
    <w:aliases w:val="المبحث والمطلب Char"/>
    <w:link w:val="Title"/>
    <w:uiPriority w:val="10"/>
    <w:rsid w:val="00700C05"/>
    <w:rPr>
      <w:rFonts w:ascii="Cambria" w:hAnsi="Cambria" w:cs="PT Bold Heading"/>
      <w:spacing w:val="5"/>
      <w:kern w:val="28"/>
      <w:sz w:val="32"/>
      <w:szCs w:val="32"/>
    </w:rPr>
  </w:style>
  <w:style w:type="paragraph" w:styleId="BodyTextIndent2">
    <w:name w:val="Body Text Indent 2"/>
    <w:basedOn w:val="Normal"/>
    <w:link w:val="BodyTextIndent2Char"/>
    <w:uiPriority w:val="99"/>
    <w:semiHidden/>
    <w:unhideWhenUsed/>
    <w:rsid w:val="00B62AFF"/>
    <w:pPr>
      <w:spacing w:after="120" w:line="480" w:lineRule="auto"/>
      <w:ind w:left="283"/>
    </w:pPr>
  </w:style>
  <w:style w:type="character" w:customStyle="1" w:styleId="BodyTextIndent2Char">
    <w:name w:val="Body Text Indent 2 Char"/>
    <w:link w:val="BodyTextIndent2"/>
    <w:uiPriority w:val="99"/>
    <w:semiHidden/>
    <w:rsid w:val="00B62AFF"/>
    <w:rPr>
      <w:sz w:val="22"/>
      <w:szCs w:val="22"/>
    </w:rPr>
  </w:style>
  <w:style w:type="paragraph" w:styleId="HTMLPreformatted">
    <w:name w:val="HTML Preformatted"/>
    <w:basedOn w:val="Normal"/>
    <w:link w:val="HTMLPreformattedChar"/>
    <w:uiPriority w:val="99"/>
    <w:unhideWhenUsed/>
    <w:rsid w:val="00B62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B62AFF"/>
    <w:rPr>
      <w:rFonts w:ascii="Courier New" w:hAnsi="Courier New" w:cs="Courier New"/>
    </w:rPr>
  </w:style>
  <w:style w:type="paragraph" w:styleId="BodyTextIndent">
    <w:name w:val="Body Text Indent"/>
    <w:basedOn w:val="Normal"/>
    <w:link w:val="BodyTextIndentChar"/>
    <w:unhideWhenUsed/>
    <w:rsid w:val="00B62AFF"/>
    <w:pPr>
      <w:spacing w:after="0" w:line="240" w:lineRule="auto"/>
      <w:ind w:firstLine="793"/>
      <w:jc w:val="lowKashida"/>
    </w:pPr>
    <w:rPr>
      <w:rFonts w:ascii="Times New Roman" w:hAnsi="Times New Roman" w:cs="Simplified Arabic"/>
      <w:sz w:val="20"/>
      <w:szCs w:val="28"/>
    </w:rPr>
  </w:style>
  <w:style w:type="character" w:customStyle="1" w:styleId="BodyTextIndentChar">
    <w:name w:val="Body Text Indent Char"/>
    <w:link w:val="BodyTextIndent"/>
    <w:rsid w:val="00B62AFF"/>
    <w:rPr>
      <w:rFonts w:ascii="Times New Roman" w:hAnsi="Times New Roman" w:cs="Simplified Arabic"/>
      <w:szCs w:val="28"/>
    </w:rPr>
  </w:style>
  <w:style w:type="character" w:customStyle="1" w:styleId="Char1">
    <w:name w:val="رأس الصفحة Char1"/>
    <w:uiPriority w:val="99"/>
    <w:rsid w:val="00B62AFF"/>
    <w:rPr>
      <w:sz w:val="22"/>
      <w:szCs w:val="22"/>
    </w:rPr>
  </w:style>
  <w:style w:type="character" w:customStyle="1" w:styleId="Char10">
    <w:name w:val="تذييل الصفحة Char1"/>
    <w:uiPriority w:val="99"/>
    <w:rsid w:val="00B62AFF"/>
    <w:rPr>
      <w:sz w:val="22"/>
      <w:szCs w:val="22"/>
    </w:rPr>
  </w:style>
  <w:style w:type="paragraph" w:customStyle="1" w:styleId="a2">
    <w:basedOn w:val="Normal"/>
    <w:next w:val="Header"/>
    <w:rsid w:val="002A3782"/>
    <w:pPr>
      <w:tabs>
        <w:tab w:val="center" w:pos="4153"/>
        <w:tab w:val="right" w:pos="8306"/>
      </w:tabs>
      <w:spacing w:after="0" w:line="240" w:lineRule="auto"/>
    </w:pPr>
    <w:rPr>
      <w:rFonts w:ascii="Times New Roman" w:hAnsi="Times New Roman" w:cs="Times New Roman"/>
      <w:sz w:val="28"/>
      <w:szCs w:val="28"/>
    </w:rPr>
  </w:style>
  <w:style w:type="character" w:customStyle="1" w:styleId="Heading3Char">
    <w:name w:val="Heading 3 Char"/>
    <w:link w:val="Heading3"/>
    <w:uiPriority w:val="9"/>
    <w:rsid w:val="00160B21"/>
    <w:rPr>
      <w:rFonts w:ascii="Calibri Light" w:hAnsi="Calibri Light" w:cs="Simplified Arabic"/>
      <w:bCs/>
      <w:sz w:val="24"/>
      <w:szCs w:val="32"/>
    </w:rPr>
  </w:style>
  <w:style w:type="character" w:customStyle="1" w:styleId="Heading4Char">
    <w:name w:val="Heading 4 Char"/>
    <w:link w:val="Heading4"/>
    <w:uiPriority w:val="9"/>
    <w:rsid w:val="00160B21"/>
    <w:rPr>
      <w:rFonts w:ascii="Calibri Light" w:hAnsi="Calibri Light" w:cs="Simplified Arabic"/>
      <w:i/>
      <w:sz w:val="24"/>
      <w:szCs w:val="28"/>
    </w:rPr>
  </w:style>
  <w:style w:type="paragraph" w:styleId="TOCHeading">
    <w:name w:val="TOC Heading"/>
    <w:basedOn w:val="1"/>
    <w:next w:val="Normal"/>
    <w:uiPriority w:val="39"/>
    <w:unhideWhenUsed/>
    <w:qFormat/>
    <w:rsid w:val="00160B21"/>
    <w:pPr>
      <w:keepLines/>
      <w:spacing w:before="240" w:after="0" w:line="259" w:lineRule="auto"/>
      <w:ind w:firstLine="0"/>
      <w:jc w:val="center"/>
      <w:outlineLvl w:val="9"/>
    </w:pPr>
    <w:rPr>
      <w:rFonts w:ascii="Calibri Light" w:hAnsi="Calibri Light" w:cs="Times New Roman"/>
      <w:color w:val="2E74B5"/>
      <w:kern w:val="0"/>
      <w:sz w:val="32"/>
      <w:szCs w:val="32"/>
      <w:rtl/>
    </w:rPr>
  </w:style>
  <w:style w:type="paragraph" w:styleId="TOC2">
    <w:name w:val="toc 2"/>
    <w:basedOn w:val="Normal"/>
    <w:next w:val="Normal"/>
    <w:autoRedefine/>
    <w:uiPriority w:val="39"/>
    <w:unhideWhenUsed/>
    <w:rsid w:val="00160B21"/>
    <w:pPr>
      <w:spacing w:after="100" w:line="259" w:lineRule="auto"/>
      <w:ind w:left="220"/>
    </w:pPr>
    <w:rPr>
      <w:rFonts w:eastAsia="Calibri"/>
    </w:rPr>
  </w:style>
  <w:style w:type="numbering" w:customStyle="1" w:styleId="12">
    <w:name w:val="بلا قائمة1"/>
    <w:next w:val="NoList"/>
    <w:semiHidden/>
    <w:unhideWhenUsed/>
    <w:rsid w:val="00160B21"/>
  </w:style>
  <w:style w:type="character" w:styleId="Emphasis">
    <w:name w:val="Emphasis"/>
    <w:aliases w:val="الفرع"/>
    <w:uiPriority w:val="20"/>
    <w:qFormat/>
    <w:rsid w:val="00A17925"/>
    <w:rPr>
      <w:b/>
      <w:bCs/>
    </w:rPr>
  </w:style>
  <w:style w:type="paragraph" w:styleId="TOC1">
    <w:name w:val="toc 1"/>
    <w:basedOn w:val="Normal"/>
    <w:next w:val="Normal"/>
    <w:autoRedefine/>
    <w:uiPriority w:val="39"/>
    <w:unhideWhenUsed/>
    <w:rsid w:val="00160B21"/>
    <w:pPr>
      <w:pBdr>
        <w:top w:val="single" w:sz="4" w:space="1" w:color="auto"/>
        <w:left w:val="single" w:sz="4" w:space="4" w:color="auto"/>
        <w:bottom w:val="single" w:sz="4" w:space="1" w:color="auto"/>
        <w:right w:val="single" w:sz="4" w:space="4" w:color="auto"/>
      </w:pBdr>
      <w:shd w:val="clear" w:color="auto" w:fill="D0CECE"/>
      <w:tabs>
        <w:tab w:val="right" w:leader="dot" w:pos="8777"/>
      </w:tabs>
      <w:spacing w:after="100" w:line="259" w:lineRule="auto"/>
      <w:jc w:val="center"/>
    </w:pPr>
    <w:rPr>
      <w:rFonts w:cs="Times New Roman"/>
      <w:rtl/>
    </w:rPr>
  </w:style>
  <w:style w:type="paragraph" w:styleId="TOC3">
    <w:name w:val="toc 3"/>
    <w:basedOn w:val="Normal"/>
    <w:next w:val="Normal"/>
    <w:autoRedefine/>
    <w:uiPriority w:val="39"/>
    <w:unhideWhenUsed/>
    <w:rsid w:val="00160B21"/>
    <w:pPr>
      <w:shd w:val="clear" w:color="auto" w:fill="FFFFFF"/>
      <w:tabs>
        <w:tab w:val="right" w:leader="dot" w:pos="8777"/>
      </w:tabs>
      <w:spacing w:after="100" w:line="259" w:lineRule="auto"/>
      <w:ind w:left="440"/>
    </w:pPr>
    <w:rPr>
      <w:rFonts w:cs="Times New Roman"/>
      <w:rtl/>
    </w:rPr>
  </w:style>
  <w:style w:type="paragraph" w:styleId="TOC4">
    <w:name w:val="toc 4"/>
    <w:basedOn w:val="Normal"/>
    <w:next w:val="Normal"/>
    <w:autoRedefine/>
    <w:uiPriority w:val="39"/>
    <w:unhideWhenUsed/>
    <w:rsid w:val="00160B21"/>
    <w:pPr>
      <w:spacing w:after="100" w:line="259" w:lineRule="auto"/>
      <w:ind w:left="660"/>
    </w:pPr>
  </w:style>
  <w:style w:type="paragraph" w:styleId="TOC5">
    <w:name w:val="toc 5"/>
    <w:basedOn w:val="Normal"/>
    <w:next w:val="Normal"/>
    <w:autoRedefine/>
    <w:uiPriority w:val="39"/>
    <w:unhideWhenUsed/>
    <w:rsid w:val="00160B21"/>
    <w:pPr>
      <w:spacing w:after="100" w:line="259" w:lineRule="auto"/>
      <w:ind w:left="880"/>
    </w:pPr>
  </w:style>
  <w:style w:type="paragraph" w:styleId="TOC6">
    <w:name w:val="toc 6"/>
    <w:basedOn w:val="Normal"/>
    <w:next w:val="Normal"/>
    <w:autoRedefine/>
    <w:uiPriority w:val="39"/>
    <w:unhideWhenUsed/>
    <w:rsid w:val="00160B21"/>
    <w:pPr>
      <w:spacing w:after="100" w:line="259" w:lineRule="auto"/>
      <w:ind w:left="1100"/>
    </w:pPr>
  </w:style>
  <w:style w:type="paragraph" w:styleId="TOC7">
    <w:name w:val="toc 7"/>
    <w:basedOn w:val="Normal"/>
    <w:next w:val="Normal"/>
    <w:autoRedefine/>
    <w:uiPriority w:val="39"/>
    <w:unhideWhenUsed/>
    <w:rsid w:val="00160B21"/>
    <w:pPr>
      <w:spacing w:after="100" w:line="259" w:lineRule="auto"/>
      <w:ind w:left="1320"/>
    </w:pPr>
  </w:style>
  <w:style w:type="paragraph" w:styleId="TOC8">
    <w:name w:val="toc 8"/>
    <w:basedOn w:val="Normal"/>
    <w:next w:val="Normal"/>
    <w:autoRedefine/>
    <w:uiPriority w:val="39"/>
    <w:unhideWhenUsed/>
    <w:rsid w:val="00160B21"/>
    <w:pPr>
      <w:spacing w:after="100" w:line="259" w:lineRule="auto"/>
      <w:ind w:left="1540"/>
    </w:pPr>
  </w:style>
  <w:style w:type="paragraph" w:styleId="TOC9">
    <w:name w:val="toc 9"/>
    <w:basedOn w:val="Normal"/>
    <w:next w:val="Normal"/>
    <w:autoRedefine/>
    <w:uiPriority w:val="39"/>
    <w:unhideWhenUsed/>
    <w:rsid w:val="00160B21"/>
    <w:pPr>
      <w:spacing w:after="100" w:line="259" w:lineRule="auto"/>
      <w:ind w:left="1760"/>
    </w:pPr>
  </w:style>
  <w:style w:type="character" w:customStyle="1" w:styleId="Heading1Char">
    <w:name w:val="Heading 1 Char"/>
    <w:uiPriority w:val="9"/>
    <w:rsid w:val="00160B21"/>
    <w:rPr>
      <w:rFonts w:ascii="Arial" w:hAnsi="Arial"/>
      <w:b/>
      <w:bCs/>
      <w:kern w:val="32"/>
      <w:sz w:val="32"/>
      <w:szCs w:val="32"/>
      <w:lang w:val="en-US" w:eastAsia="en-US" w:bidi="ar-SA"/>
    </w:rPr>
  </w:style>
  <w:style w:type="character" w:customStyle="1" w:styleId="PicturecaptionExact">
    <w:name w:val="Picture caption Exact"/>
    <w:link w:val="Picturecaption"/>
    <w:rsid w:val="00160B21"/>
    <w:rPr>
      <w:b/>
      <w:bCs/>
      <w:i/>
      <w:iCs/>
      <w:spacing w:val="-11"/>
      <w:sz w:val="52"/>
      <w:szCs w:val="52"/>
      <w:shd w:val="clear" w:color="auto" w:fill="FFFFFF"/>
    </w:rPr>
  </w:style>
  <w:style w:type="paragraph" w:customStyle="1" w:styleId="Picturecaption">
    <w:name w:val="Picture caption"/>
    <w:basedOn w:val="Normal"/>
    <w:link w:val="PicturecaptionExact"/>
    <w:rsid w:val="00160B21"/>
    <w:pPr>
      <w:widowControl w:val="0"/>
      <w:shd w:val="clear" w:color="auto" w:fill="FFFFFF"/>
      <w:bidi w:val="0"/>
      <w:spacing w:after="0" w:line="0" w:lineRule="atLeast"/>
    </w:pPr>
    <w:rPr>
      <w:b/>
      <w:bCs/>
      <w:i/>
      <w:iCs/>
      <w:spacing w:val="-11"/>
      <w:sz w:val="52"/>
      <w:szCs w:val="52"/>
    </w:rPr>
  </w:style>
  <w:style w:type="paragraph" w:styleId="Quote">
    <w:name w:val="Quote"/>
    <w:basedOn w:val="Normal"/>
    <w:next w:val="Normal"/>
    <w:link w:val="QuoteChar"/>
    <w:uiPriority w:val="29"/>
    <w:qFormat/>
    <w:rsid w:val="00160B21"/>
    <w:pPr>
      <w:spacing w:before="200" w:after="160" w:line="240" w:lineRule="auto"/>
      <w:ind w:left="864" w:right="864"/>
      <w:jc w:val="center"/>
    </w:pPr>
    <w:rPr>
      <w:rFonts w:ascii="Times New Roman" w:hAnsi="Times New Roman" w:cs="Times New Roman"/>
      <w:i/>
      <w:iCs/>
      <w:color w:val="404040"/>
      <w:sz w:val="24"/>
      <w:szCs w:val="24"/>
    </w:rPr>
  </w:style>
  <w:style w:type="character" w:customStyle="1" w:styleId="QuoteChar">
    <w:name w:val="Quote Char"/>
    <w:link w:val="Quote"/>
    <w:uiPriority w:val="29"/>
    <w:rsid w:val="00160B21"/>
    <w:rPr>
      <w:rFonts w:ascii="Times New Roman" w:hAnsi="Times New Roman" w:cs="Times New Roman"/>
      <w:i/>
      <w:iCs/>
      <w:color w:val="404040"/>
      <w:sz w:val="24"/>
      <w:szCs w:val="24"/>
    </w:rPr>
  </w:style>
  <w:style w:type="paragraph" w:customStyle="1" w:styleId="a3">
    <w:rsid w:val="004259C4"/>
    <w:pPr>
      <w:tabs>
        <w:tab w:val="center" w:pos="4153"/>
        <w:tab w:val="right" w:pos="8306"/>
      </w:tabs>
    </w:pPr>
    <w:rPr>
      <w:rFonts w:ascii="Times New Roman" w:hAnsi="Times New Roman" w:cs="Times New Roman"/>
      <w:sz w:val="24"/>
      <w:szCs w:val="24"/>
    </w:rPr>
  </w:style>
  <w:style w:type="character" w:customStyle="1" w:styleId="apple-style-span">
    <w:name w:val="apple-style-span"/>
    <w:rsid w:val="004259C4"/>
  </w:style>
  <w:style w:type="table" w:customStyle="1" w:styleId="TableNormal1">
    <w:name w:val="Table Normal1"/>
    <w:uiPriority w:val="2"/>
    <w:semiHidden/>
    <w:unhideWhenUsed/>
    <w:qFormat/>
    <w:rsid w:val="004259C4"/>
    <w:pPr>
      <w:widowControl w:val="0"/>
      <w:autoSpaceDE w:val="0"/>
      <w:autoSpaceDN w:val="0"/>
    </w:pPr>
    <w:rPr>
      <w:rFonts w:eastAsia="Calibri"/>
      <w:sz w:val="22"/>
      <w:szCs w:val="22"/>
    </w:rPr>
    <w:tblPr>
      <w:tblInd w:w="0" w:type="dxa"/>
      <w:tblCellMar>
        <w:top w:w="0" w:type="dxa"/>
        <w:left w:w="0" w:type="dxa"/>
        <w:bottom w:w="0" w:type="dxa"/>
        <w:right w:w="0" w:type="dxa"/>
      </w:tblCellMar>
    </w:tblPr>
  </w:style>
  <w:style w:type="paragraph" w:styleId="BodyTextFirstIndent">
    <w:name w:val="Body Text First Indent"/>
    <w:basedOn w:val="BodyText"/>
    <w:link w:val="BodyTextFirstIndentChar"/>
    <w:rsid w:val="004259C4"/>
    <w:pPr>
      <w:spacing w:after="120" w:line="240" w:lineRule="auto"/>
      <w:ind w:left="0" w:right="0" w:firstLine="210"/>
    </w:pPr>
    <w:rPr>
      <w:sz w:val="24"/>
      <w:szCs w:val="24"/>
      <w:lang w:val="en-US" w:eastAsia="en-US"/>
    </w:rPr>
  </w:style>
  <w:style w:type="character" w:customStyle="1" w:styleId="BodyTextFirstIndentChar">
    <w:name w:val="Body Text First Indent Char"/>
    <w:link w:val="BodyTextFirstIndent"/>
    <w:rsid w:val="004259C4"/>
    <w:rPr>
      <w:rFonts w:ascii="Times New Roman" w:hAnsi="Times New Roman" w:cs="Times New Roman"/>
      <w:sz w:val="24"/>
      <w:szCs w:val="24"/>
      <w:lang w:val="en-GB" w:eastAsia="en-GB"/>
    </w:rPr>
  </w:style>
  <w:style w:type="paragraph" w:customStyle="1" w:styleId="13">
    <w:name w:val="سرد الفقرات1"/>
    <w:basedOn w:val="Normal"/>
    <w:qFormat/>
    <w:rsid w:val="00725C2E"/>
    <w:pPr>
      <w:ind w:left="720"/>
      <w:contextualSpacing/>
    </w:pPr>
  </w:style>
  <w:style w:type="paragraph" w:customStyle="1" w:styleId="Heading41">
    <w:name w:val="Heading 41"/>
    <w:basedOn w:val="Normal"/>
    <w:next w:val="Normal"/>
    <w:uiPriority w:val="9"/>
    <w:unhideWhenUsed/>
    <w:qFormat/>
    <w:rsid w:val="00725C2E"/>
    <w:pPr>
      <w:keepNext/>
      <w:keepLines/>
      <w:spacing w:before="200" w:after="0"/>
      <w:outlineLvl w:val="3"/>
    </w:pPr>
    <w:rPr>
      <w:rFonts w:ascii="Cambria" w:hAnsi="Cambria" w:cs="Times New Roman"/>
      <w:b/>
      <w:bCs/>
      <w:i/>
      <w:iCs/>
      <w:color w:val="4F81BD"/>
      <w:sz w:val="20"/>
      <w:szCs w:val="24"/>
    </w:rPr>
  </w:style>
  <w:style w:type="numbering" w:customStyle="1" w:styleId="NoList1">
    <w:name w:val="No List1"/>
    <w:next w:val="NoList"/>
    <w:uiPriority w:val="99"/>
    <w:semiHidden/>
    <w:unhideWhenUsed/>
    <w:rsid w:val="00725C2E"/>
  </w:style>
  <w:style w:type="character" w:customStyle="1" w:styleId="FollowedHyperlink1">
    <w:name w:val="FollowedHyperlink1"/>
    <w:uiPriority w:val="99"/>
    <w:semiHidden/>
    <w:unhideWhenUsed/>
    <w:rsid w:val="00725C2E"/>
    <w:rPr>
      <w:color w:val="800080"/>
      <w:u w:val="single"/>
    </w:rPr>
  </w:style>
  <w:style w:type="character" w:customStyle="1" w:styleId="std">
    <w:name w:val="std"/>
    <w:rsid w:val="00725C2E"/>
  </w:style>
  <w:style w:type="character" w:customStyle="1" w:styleId="ms-formfieldlabel">
    <w:name w:val="ms-formfieldlabel"/>
    <w:rsid w:val="00725C2E"/>
  </w:style>
  <w:style w:type="character" w:styleId="FollowedHyperlink">
    <w:name w:val="FollowedHyperlink"/>
    <w:uiPriority w:val="99"/>
    <w:rsid w:val="00725C2E"/>
    <w:rPr>
      <w:color w:val="954F72"/>
      <w:u w:val="single"/>
    </w:rPr>
  </w:style>
  <w:style w:type="character" w:customStyle="1" w:styleId="Heading4Char1">
    <w:name w:val="Heading 4 Char1"/>
    <w:semiHidden/>
    <w:rsid w:val="00725C2E"/>
    <w:rPr>
      <w:rFonts w:ascii="Calibri" w:eastAsia="Times New Roman" w:hAnsi="Calibri" w:cs="Arial"/>
      <w:b/>
      <w:bCs/>
      <w:sz w:val="28"/>
      <w:szCs w:val="28"/>
    </w:rPr>
  </w:style>
  <w:style w:type="paragraph" w:customStyle="1" w:styleId="a4">
    <w:rsid w:val="00466FE3"/>
  </w:style>
  <w:style w:type="paragraph" w:customStyle="1" w:styleId="id12">
    <w:name w:val="id12"/>
    <w:basedOn w:val="Normal"/>
    <w:rsid w:val="004E6A3E"/>
    <w:pPr>
      <w:bidi w:val="0"/>
      <w:spacing w:before="100" w:beforeAutospacing="1" w:after="100" w:afterAutospacing="1" w:line="240" w:lineRule="auto"/>
    </w:pPr>
    <w:rPr>
      <w:rFonts w:ascii="Times New Roman" w:hAnsi="Times New Roman" w:cs="Times New Roman"/>
      <w:sz w:val="24"/>
      <w:szCs w:val="24"/>
    </w:rPr>
  </w:style>
  <w:style w:type="paragraph" w:customStyle="1" w:styleId="id10">
    <w:name w:val="id10"/>
    <w:basedOn w:val="Normal"/>
    <w:rsid w:val="004E6A3E"/>
    <w:pPr>
      <w:bidi w:val="0"/>
      <w:spacing w:before="100" w:beforeAutospacing="1" w:after="100" w:afterAutospacing="1" w:line="240" w:lineRule="auto"/>
    </w:pPr>
    <w:rPr>
      <w:rFonts w:ascii="Times New Roman" w:hAnsi="Times New Roman" w:cs="Times New Roman"/>
      <w:sz w:val="24"/>
      <w:szCs w:val="24"/>
    </w:rPr>
  </w:style>
  <w:style w:type="paragraph" w:customStyle="1" w:styleId="id4">
    <w:name w:val="id4"/>
    <w:basedOn w:val="Normal"/>
    <w:rsid w:val="004E6A3E"/>
    <w:pPr>
      <w:bidi w:val="0"/>
      <w:spacing w:before="100" w:beforeAutospacing="1" w:after="100" w:afterAutospacing="1" w:line="240" w:lineRule="auto"/>
    </w:pPr>
    <w:rPr>
      <w:rFonts w:ascii="Times New Roman" w:hAnsi="Times New Roman" w:cs="Times New Roman"/>
      <w:sz w:val="24"/>
      <w:szCs w:val="24"/>
    </w:rPr>
  </w:style>
  <w:style w:type="paragraph" w:customStyle="1" w:styleId="id5">
    <w:name w:val="id5"/>
    <w:basedOn w:val="Normal"/>
    <w:rsid w:val="004E6A3E"/>
    <w:pPr>
      <w:bidi w:val="0"/>
      <w:spacing w:before="100" w:beforeAutospacing="1" w:after="100" w:afterAutospacing="1" w:line="240" w:lineRule="auto"/>
    </w:pPr>
    <w:rPr>
      <w:rFonts w:ascii="Times New Roman" w:hAnsi="Times New Roman" w:cs="Times New Roman"/>
      <w:sz w:val="24"/>
      <w:szCs w:val="24"/>
    </w:rPr>
  </w:style>
  <w:style w:type="paragraph" w:styleId="List2">
    <w:name w:val="List 2"/>
    <w:basedOn w:val="Normal"/>
    <w:rsid w:val="004E6A3E"/>
    <w:pPr>
      <w:spacing w:after="0" w:line="240" w:lineRule="auto"/>
      <w:ind w:left="566" w:hanging="283"/>
    </w:pPr>
    <w:rPr>
      <w:rFonts w:ascii="Times New Roman" w:hAnsi="Times New Roman" w:cs="Times New Roman"/>
      <w:sz w:val="24"/>
      <w:szCs w:val="24"/>
    </w:rPr>
  </w:style>
  <w:style w:type="character" w:customStyle="1" w:styleId="lrg">
    <w:name w:val="lrg"/>
    <w:rsid w:val="004E6A3E"/>
    <w:rPr>
      <w:rFonts w:cs="Times New Roman"/>
    </w:rPr>
  </w:style>
  <w:style w:type="character" w:customStyle="1" w:styleId="bodycontent1">
    <w:name w:val="bodycontent1"/>
    <w:rsid w:val="004E6A3E"/>
    <w:rPr>
      <w:rFonts w:cs="Arabic Transparent"/>
      <w:color w:val="000000"/>
      <w:sz w:val="27"/>
      <w:szCs w:val="27"/>
      <w:lang w:bidi="ar-SA"/>
    </w:rPr>
  </w:style>
  <w:style w:type="character" w:customStyle="1" w:styleId="med">
    <w:name w:val="med"/>
    <w:rsid w:val="004E6A3E"/>
    <w:rPr>
      <w:rFonts w:cs="Times New Roman"/>
    </w:rPr>
  </w:style>
  <w:style w:type="character" w:customStyle="1" w:styleId="st1">
    <w:name w:val="st1"/>
    <w:rsid w:val="004E6A3E"/>
    <w:rPr>
      <w:rFonts w:cs="Times New Roman"/>
    </w:rPr>
  </w:style>
  <w:style w:type="character" w:customStyle="1" w:styleId="f1">
    <w:name w:val="f1"/>
    <w:rsid w:val="004E6A3E"/>
    <w:rPr>
      <w:rFonts w:cs="Times New Roman"/>
      <w:color w:val="808080"/>
    </w:rPr>
  </w:style>
  <w:style w:type="character" w:customStyle="1" w:styleId="hps">
    <w:name w:val="hps"/>
    <w:rsid w:val="004E6A3E"/>
    <w:rPr>
      <w:rFonts w:cs="Times New Roman"/>
    </w:rPr>
  </w:style>
  <w:style w:type="character" w:customStyle="1" w:styleId="shorttext">
    <w:name w:val="short_text"/>
    <w:rsid w:val="004E6A3E"/>
    <w:rPr>
      <w:rFonts w:cs="Times New Roman"/>
    </w:rPr>
  </w:style>
  <w:style w:type="paragraph" w:styleId="BodyText2">
    <w:name w:val="Body Text 2"/>
    <w:basedOn w:val="Normal"/>
    <w:link w:val="BodyText2Char"/>
    <w:unhideWhenUsed/>
    <w:rsid w:val="004E6A3E"/>
    <w:pPr>
      <w:spacing w:after="120" w:line="480" w:lineRule="auto"/>
    </w:pPr>
    <w:rPr>
      <w:rFonts w:eastAsia="Calibri"/>
    </w:rPr>
  </w:style>
  <w:style w:type="character" w:customStyle="1" w:styleId="BodyText2Char">
    <w:name w:val="Body Text 2 Char"/>
    <w:link w:val="BodyText2"/>
    <w:rsid w:val="004E6A3E"/>
    <w:rPr>
      <w:rFonts w:eastAsia="Calibri"/>
      <w:sz w:val="22"/>
      <w:szCs w:val="22"/>
    </w:rPr>
  </w:style>
  <w:style w:type="paragraph" w:customStyle="1" w:styleId="id8">
    <w:name w:val="id8"/>
    <w:basedOn w:val="Normal"/>
    <w:rsid w:val="004E6A3E"/>
    <w:pPr>
      <w:bidi w:val="0"/>
      <w:spacing w:before="100" w:beforeAutospacing="1" w:after="100" w:afterAutospacing="1" w:line="240" w:lineRule="auto"/>
    </w:pPr>
    <w:rPr>
      <w:rFonts w:ascii="Times New Roman" w:hAnsi="Times New Roman" w:cs="Times New Roman"/>
      <w:sz w:val="24"/>
      <w:szCs w:val="24"/>
    </w:rPr>
  </w:style>
  <w:style w:type="paragraph" w:customStyle="1" w:styleId="id6">
    <w:name w:val="id6"/>
    <w:basedOn w:val="Normal"/>
    <w:rsid w:val="004E6A3E"/>
    <w:pPr>
      <w:bidi w:val="0"/>
      <w:spacing w:before="100" w:beforeAutospacing="1" w:after="100" w:afterAutospacing="1" w:line="240" w:lineRule="auto"/>
    </w:pPr>
    <w:rPr>
      <w:rFonts w:ascii="Times New Roman" w:hAnsi="Times New Roman" w:cs="Times New Roman"/>
      <w:sz w:val="24"/>
      <w:szCs w:val="24"/>
    </w:rPr>
  </w:style>
  <w:style w:type="character" w:customStyle="1" w:styleId="BallontekstChar1">
    <w:name w:val="Ballontekst Char1"/>
    <w:uiPriority w:val="99"/>
    <w:semiHidden/>
    <w:rsid w:val="004E6A3E"/>
    <w:rPr>
      <w:rFonts w:ascii="Segoe UI" w:eastAsia="Calibri" w:hAnsi="Segoe UI" w:cs="Segoe UI"/>
      <w:sz w:val="18"/>
      <w:szCs w:val="18"/>
      <w:lang w:val="en-US"/>
    </w:rPr>
  </w:style>
  <w:style w:type="character" w:customStyle="1" w:styleId="surname">
    <w:name w:val="surname"/>
    <w:rsid w:val="004E6A3E"/>
  </w:style>
  <w:style w:type="character" w:customStyle="1" w:styleId="given-names">
    <w:name w:val="given-names"/>
    <w:rsid w:val="004E6A3E"/>
  </w:style>
  <w:style w:type="character" w:customStyle="1" w:styleId="year">
    <w:name w:val="year"/>
    <w:rsid w:val="004E6A3E"/>
  </w:style>
  <w:style w:type="character" w:customStyle="1" w:styleId="source">
    <w:name w:val="source"/>
    <w:rsid w:val="004E6A3E"/>
  </w:style>
  <w:style w:type="character" w:customStyle="1" w:styleId="publisher-loc">
    <w:name w:val="publisher-loc"/>
    <w:rsid w:val="004E6A3E"/>
  </w:style>
  <w:style w:type="character" w:customStyle="1" w:styleId="publisher-name">
    <w:name w:val="publisher-name"/>
    <w:rsid w:val="004E6A3E"/>
  </w:style>
  <w:style w:type="character" w:customStyle="1" w:styleId="Onopgelostemelding1">
    <w:name w:val="Onopgeloste melding1"/>
    <w:uiPriority w:val="99"/>
    <w:semiHidden/>
    <w:unhideWhenUsed/>
    <w:rsid w:val="004E6A3E"/>
    <w:rPr>
      <w:color w:val="605E5C"/>
      <w:shd w:val="clear" w:color="auto" w:fill="E1DFDD"/>
    </w:rPr>
  </w:style>
  <w:style w:type="paragraph" w:customStyle="1" w:styleId="SingleTxtGA">
    <w:name w:val="_ Single Txt_GA"/>
    <w:basedOn w:val="Normal"/>
    <w:rsid w:val="004E6A3E"/>
    <w:pPr>
      <w:tabs>
        <w:tab w:val="left" w:pos="1928"/>
        <w:tab w:val="left" w:pos="2608"/>
        <w:tab w:val="left" w:pos="3289"/>
        <w:tab w:val="left" w:pos="3969"/>
        <w:tab w:val="left" w:pos="4649"/>
        <w:tab w:val="left" w:pos="5330"/>
      </w:tabs>
      <w:spacing w:after="120" w:line="380" w:lineRule="exact"/>
      <w:ind w:left="1247" w:right="1247"/>
      <w:jc w:val="lowKashida"/>
    </w:pPr>
    <w:rPr>
      <w:rFonts w:ascii="Times New Roman" w:hAnsi="Times New Roman" w:cs="Traditional Arabic"/>
      <w:sz w:val="20"/>
      <w:szCs w:val="30"/>
    </w:rPr>
  </w:style>
  <w:style w:type="character" w:customStyle="1" w:styleId="meta-author">
    <w:name w:val="meta-author"/>
    <w:rsid w:val="004E6A3E"/>
  </w:style>
  <w:style w:type="character" w:customStyle="1" w:styleId="screen-reader-text">
    <w:name w:val="screen-reader-text"/>
    <w:rsid w:val="004E6A3E"/>
  </w:style>
  <w:style w:type="character" w:customStyle="1" w:styleId="Datum1">
    <w:name w:val="Datum1"/>
    <w:rsid w:val="004E6A3E"/>
  </w:style>
  <w:style w:type="character" w:customStyle="1" w:styleId="meta-comment">
    <w:name w:val="meta-comment"/>
    <w:rsid w:val="004E6A3E"/>
  </w:style>
  <w:style w:type="character" w:customStyle="1" w:styleId="meta-views">
    <w:name w:val="meta-views"/>
    <w:rsid w:val="004E6A3E"/>
  </w:style>
  <w:style w:type="character" w:customStyle="1" w:styleId="meta-reading-time">
    <w:name w:val="meta-reading-time"/>
    <w:rsid w:val="004E6A3E"/>
  </w:style>
  <w:style w:type="character" w:customStyle="1" w:styleId="tagcloud">
    <w:name w:val="tagcloud"/>
    <w:rsid w:val="004E6A3E"/>
  </w:style>
  <w:style w:type="character" w:customStyle="1" w:styleId="fa">
    <w:name w:val="fa"/>
    <w:rsid w:val="004E6A3E"/>
  </w:style>
  <w:style w:type="character" w:customStyle="1" w:styleId="tie-icon-fire">
    <w:name w:val="tie-icon-fire"/>
    <w:rsid w:val="004E6A3E"/>
  </w:style>
  <w:style w:type="paragraph" w:styleId="z-TopofForm">
    <w:name w:val="HTML Top of Form"/>
    <w:basedOn w:val="Normal"/>
    <w:next w:val="Normal"/>
    <w:link w:val="z-TopofFormChar"/>
    <w:hidden/>
    <w:uiPriority w:val="99"/>
    <w:semiHidden/>
    <w:unhideWhenUsed/>
    <w:rsid w:val="004E6A3E"/>
    <w:pPr>
      <w:pBdr>
        <w:bottom w:val="single" w:sz="6" w:space="1" w:color="auto"/>
      </w:pBdr>
      <w:bidi w:val="0"/>
      <w:spacing w:after="0" w:line="240" w:lineRule="auto"/>
      <w:jc w:val="center"/>
    </w:pPr>
    <w:rPr>
      <w:rFonts w:ascii="Arial" w:hAnsi="Arial" w:cs="Times New Roman"/>
      <w:vanish/>
      <w:sz w:val="16"/>
      <w:szCs w:val="16"/>
      <w:lang w:val="x-none" w:eastAsia="x-none"/>
    </w:rPr>
  </w:style>
  <w:style w:type="character" w:customStyle="1" w:styleId="z-TopofFormChar">
    <w:name w:val="z-Top of Form Char"/>
    <w:link w:val="z-TopofForm"/>
    <w:uiPriority w:val="99"/>
    <w:semiHidden/>
    <w:rsid w:val="004E6A3E"/>
    <w:rPr>
      <w:rFonts w:ascii="Arial" w:hAnsi="Arial" w:cs="Times New Roman"/>
      <w:vanish/>
      <w:sz w:val="16"/>
      <w:szCs w:val="16"/>
      <w:lang w:val="x-none" w:eastAsia="x-none"/>
    </w:rPr>
  </w:style>
  <w:style w:type="paragraph" w:styleId="z-BottomofForm">
    <w:name w:val="HTML Bottom of Form"/>
    <w:basedOn w:val="Normal"/>
    <w:next w:val="Normal"/>
    <w:link w:val="z-BottomofFormChar"/>
    <w:hidden/>
    <w:uiPriority w:val="99"/>
    <w:semiHidden/>
    <w:unhideWhenUsed/>
    <w:rsid w:val="004E6A3E"/>
    <w:pPr>
      <w:pBdr>
        <w:top w:val="single" w:sz="6" w:space="1" w:color="auto"/>
      </w:pBdr>
      <w:bidi w:val="0"/>
      <w:spacing w:after="0" w:line="240" w:lineRule="auto"/>
      <w:jc w:val="center"/>
    </w:pPr>
    <w:rPr>
      <w:rFonts w:ascii="Arial" w:hAnsi="Arial" w:cs="Times New Roman"/>
      <w:vanish/>
      <w:sz w:val="16"/>
      <w:szCs w:val="16"/>
      <w:lang w:val="x-none" w:eastAsia="x-none"/>
    </w:rPr>
  </w:style>
  <w:style w:type="character" w:customStyle="1" w:styleId="z-BottomofFormChar">
    <w:name w:val="z-Bottom of Form Char"/>
    <w:link w:val="z-BottomofForm"/>
    <w:uiPriority w:val="99"/>
    <w:semiHidden/>
    <w:rsid w:val="004E6A3E"/>
    <w:rPr>
      <w:rFonts w:ascii="Arial" w:hAnsi="Arial" w:cs="Times New Roman"/>
      <w:vanish/>
      <w:sz w:val="16"/>
      <w:szCs w:val="16"/>
      <w:lang w:val="x-none" w:eastAsia="x-none"/>
    </w:rPr>
  </w:style>
  <w:style w:type="character" w:customStyle="1" w:styleId="says">
    <w:name w:val="says"/>
    <w:rsid w:val="004E6A3E"/>
  </w:style>
  <w:style w:type="numbering" w:customStyle="1" w:styleId="NoList2">
    <w:name w:val="No List2"/>
    <w:next w:val="NoList"/>
    <w:uiPriority w:val="99"/>
    <w:semiHidden/>
    <w:unhideWhenUsed/>
    <w:rsid w:val="004E6A3E"/>
  </w:style>
  <w:style w:type="character" w:customStyle="1" w:styleId="current">
    <w:name w:val="current"/>
    <w:rsid w:val="004E6A3E"/>
  </w:style>
  <w:style w:type="character" w:customStyle="1" w:styleId="post-cat-wrap">
    <w:name w:val="post-cat-wrap"/>
    <w:rsid w:val="004E6A3E"/>
  </w:style>
  <w:style w:type="numbering" w:customStyle="1" w:styleId="NoList3">
    <w:name w:val="No List3"/>
    <w:next w:val="NoList"/>
    <w:uiPriority w:val="99"/>
    <w:semiHidden/>
    <w:unhideWhenUsed/>
    <w:rsid w:val="004E6A3E"/>
  </w:style>
  <w:style w:type="character" w:customStyle="1" w:styleId="js-unfurl-favicon">
    <w:name w:val="js-unfurl-favicon"/>
    <w:rsid w:val="004E6A3E"/>
  </w:style>
  <w:style w:type="character" w:customStyle="1" w:styleId="media-captiontext">
    <w:name w:val="media-caption__text"/>
    <w:rsid w:val="004E6A3E"/>
  </w:style>
  <w:style w:type="paragraph" w:customStyle="1" w:styleId="H1GA">
    <w:name w:val="_ H_1_GA"/>
    <w:basedOn w:val="Normal"/>
    <w:next w:val="Normal"/>
    <w:rsid w:val="004E6A3E"/>
    <w:pPr>
      <w:keepNext/>
      <w:keepLines/>
      <w:tabs>
        <w:tab w:val="right" w:pos="1021"/>
      </w:tabs>
      <w:suppressAutoHyphens/>
      <w:spacing w:before="240" w:after="240" w:line="400" w:lineRule="exact"/>
      <w:ind w:left="1247" w:right="1247" w:hanging="1247"/>
      <w:jc w:val="lowKashida"/>
    </w:pPr>
    <w:rPr>
      <w:rFonts w:ascii="Times New Roman" w:hAnsi="Times New Roman" w:cs="Traditional Arabic"/>
      <w:b/>
      <w:bCs/>
      <w:sz w:val="24"/>
      <w:szCs w:val="34"/>
    </w:rPr>
  </w:style>
  <w:style w:type="character" w:customStyle="1" w:styleId="UnresolvedMention1">
    <w:name w:val="Unresolved Mention1"/>
    <w:uiPriority w:val="99"/>
    <w:semiHidden/>
    <w:unhideWhenUsed/>
    <w:rsid w:val="004E6A3E"/>
    <w:rPr>
      <w:color w:val="605E5C"/>
      <w:shd w:val="clear" w:color="auto" w:fill="E1DFDD"/>
    </w:rPr>
  </w:style>
  <w:style w:type="paragraph" w:customStyle="1" w:styleId="10">
    <w:name w:val="رأس الصفحة1"/>
    <w:basedOn w:val="Normal"/>
    <w:next w:val="Header"/>
    <w:link w:val="Char"/>
    <w:uiPriority w:val="99"/>
    <w:unhideWhenUsed/>
    <w:rsid w:val="00B17656"/>
    <w:pPr>
      <w:tabs>
        <w:tab w:val="center" w:pos="4153"/>
        <w:tab w:val="right" w:pos="8306"/>
      </w:tabs>
      <w:spacing w:after="0" w:line="240" w:lineRule="auto"/>
    </w:pPr>
    <w:rPr>
      <w:sz w:val="20"/>
      <w:szCs w:val="20"/>
    </w:rPr>
  </w:style>
  <w:style w:type="paragraph" w:customStyle="1" w:styleId="11">
    <w:name w:val="تذييل الصفحة1"/>
    <w:basedOn w:val="Normal"/>
    <w:next w:val="Footer"/>
    <w:link w:val="Char0"/>
    <w:uiPriority w:val="99"/>
    <w:unhideWhenUsed/>
    <w:rsid w:val="00B17656"/>
    <w:pPr>
      <w:tabs>
        <w:tab w:val="center" w:pos="4153"/>
        <w:tab w:val="right" w:pos="8306"/>
      </w:tabs>
      <w:spacing w:after="0" w:line="240" w:lineRule="auto"/>
    </w:pPr>
  </w:style>
  <w:style w:type="paragraph" w:customStyle="1" w:styleId="HTML1">
    <w:name w:val="بتنسيق HTML مسبق1"/>
    <w:basedOn w:val="Normal"/>
    <w:next w:val="HTMLPreformatted"/>
    <w:uiPriority w:val="99"/>
    <w:semiHidden/>
    <w:unhideWhenUsed/>
    <w:rsid w:val="00B17656"/>
    <w:pPr>
      <w:spacing w:after="0" w:line="240" w:lineRule="auto"/>
    </w:pPr>
    <w:rPr>
      <w:rFonts w:ascii="Consolas" w:eastAsia="Calibri" w:hAnsi="Consolas" w:cs="Consolas"/>
      <w:sz w:val="20"/>
      <w:szCs w:val="20"/>
    </w:rPr>
  </w:style>
  <w:style w:type="paragraph" w:customStyle="1" w:styleId="14">
    <w:name w:val="نص في بالون1"/>
    <w:basedOn w:val="Normal"/>
    <w:next w:val="BalloonText"/>
    <w:uiPriority w:val="99"/>
    <w:semiHidden/>
    <w:unhideWhenUsed/>
    <w:rsid w:val="00B17656"/>
    <w:pPr>
      <w:spacing w:after="0" w:line="240" w:lineRule="auto"/>
    </w:pPr>
    <w:rPr>
      <w:rFonts w:ascii="Tahoma" w:eastAsia="Calibri" w:hAnsi="Tahoma" w:cs="Tahoma"/>
      <w:sz w:val="16"/>
      <w:szCs w:val="16"/>
    </w:rPr>
  </w:style>
  <w:style w:type="character" w:customStyle="1" w:styleId="HTMLChar1">
    <w:name w:val="بتنسيق HTML مسبق Char1"/>
    <w:uiPriority w:val="99"/>
    <w:semiHidden/>
    <w:rsid w:val="00B17656"/>
    <w:rPr>
      <w:rFonts w:ascii="Consolas" w:hAnsi="Consolas" w:cs="Consolas"/>
      <w:sz w:val="20"/>
      <w:szCs w:val="20"/>
      <w:lang w:bidi="ar-IQ"/>
    </w:rPr>
  </w:style>
  <w:style w:type="character" w:customStyle="1" w:styleId="Char11">
    <w:name w:val="نص في بالون Char1"/>
    <w:uiPriority w:val="99"/>
    <w:semiHidden/>
    <w:rsid w:val="00B17656"/>
    <w:rPr>
      <w:rFonts w:ascii="Tahoma" w:hAnsi="Tahoma" w:cs="Tahoma"/>
      <w:sz w:val="16"/>
      <w:szCs w:val="16"/>
      <w:lang w:bidi="ar-IQ"/>
    </w:rPr>
  </w:style>
  <w:style w:type="paragraph" w:styleId="ListParagraph">
    <w:name w:val="List Paragraph"/>
    <w:basedOn w:val="Normal"/>
    <w:uiPriority w:val="34"/>
    <w:qFormat/>
    <w:rsid w:val="007332B7"/>
    <w:pPr>
      <w:ind w:left="720"/>
      <w:contextualSpacing/>
    </w:pPr>
    <w:rPr>
      <w:rFonts w:asciiTheme="minorHAnsi" w:eastAsiaTheme="minorHAnsi" w:hAnsiTheme="minorHAnsi" w:cstheme="minorBidi"/>
    </w:rPr>
  </w:style>
  <w:style w:type="paragraph" w:customStyle="1" w:styleId="15">
    <w:name w:val="نص حاشية سفلية1"/>
    <w:basedOn w:val="Normal"/>
    <w:next w:val="FootnoteText"/>
    <w:link w:val="Char2"/>
    <w:uiPriority w:val="99"/>
    <w:unhideWhenUsed/>
    <w:rsid w:val="007332B7"/>
    <w:pPr>
      <w:spacing w:after="0" w:line="240" w:lineRule="auto"/>
    </w:pPr>
    <w:rPr>
      <w:rFonts w:asciiTheme="minorHAnsi" w:eastAsiaTheme="minorHAnsi" w:hAnsiTheme="minorHAnsi" w:cstheme="minorBidi"/>
      <w:sz w:val="20"/>
      <w:szCs w:val="20"/>
    </w:rPr>
  </w:style>
  <w:style w:type="character" w:customStyle="1" w:styleId="Char2">
    <w:name w:val="نص حاشية سفلية Char"/>
    <w:basedOn w:val="DefaultParagraphFont"/>
    <w:link w:val="15"/>
    <w:uiPriority w:val="99"/>
    <w:rsid w:val="007332B7"/>
    <w:rPr>
      <w:rFonts w:asciiTheme="minorHAnsi" w:eastAsiaTheme="minorHAnsi" w:hAnsiTheme="minorHAnsi" w:cstheme="minorBidi"/>
    </w:rPr>
  </w:style>
  <w:style w:type="character" w:customStyle="1" w:styleId="UnresolvedMention2">
    <w:name w:val="Unresolved Mention2"/>
    <w:basedOn w:val="DefaultParagraphFont"/>
    <w:uiPriority w:val="99"/>
    <w:semiHidden/>
    <w:unhideWhenUsed/>
    <w:rsid w:val="00725CC8"/>
    <w:rPr>
      <w:color w:val="605E5C"/>
      <w:shd w:val="clear" w:color="auto" w:fill="E1DFDD"/>
    </w:rPr>
  </w:style>
  <w:style w:type="character" w:customStyle="1" w:styleId="Heading1Char1">
    <w:name w:val="Heading 1 Char1"/>
    <w:basedOn w:val="DefaultParagraphFont"/>
    <w:link w:val="Heading1"/>
    <w:uiPriority w:val="9"/>
    <w:rsid w:val="00B04398"/>
    <w:rPr>
      <w:rFonts w:asciiTheme="majorHAnsi" w:eastAsiaTheme="majorEastAsia" w:hAnsiTheme="majorHAnsi" w:cstheme="majorBidi"/>
      <w:color w:val="2F5496" w:themeColor="accent1" w:themeShade="BF"/>
      <w:sz w:val="32"/>
      <w:szCs w:val="32"/>
    </w:rPr>
  </w:style>
  <w:style w:type="character" w:customStyle="1" w:styleId="Heading6Char">
    <w:name w:val="Heading 6 Char"/>
    <w:basedOn w:val="DefaultParagraphFont"/>
    <w:link w:val="Heading6"/>
    <w:uiPriority w:val="9"/>
    <w:semiHidden/>
    <w:rsid w:val="00B04398"/>
    <w:rPr>
      <w:rFonts w:asciiTheme="majorHAnsi" w:eastAsiaTheme="majorEastAsia" w:hAnsiTheme="majorHAnsi" w:cstheme="majorBidi"/>
      <w:i/>
      <w:iCs/>
      <w:color w:val="1F3763" w:themeColor="accent1" w:themeShade="7F"/>
      <w:sz w:val="22"/>
      <w:szCs w:val="22"/>
      <w:lang w:val="fr-FR"/>
    </w:rPr>
  </w:style>
  <w:style w:type="character" w:customStyle="1" w:styleId="Heading7Char">
    <w:name w:val="Heading 7 Char"/>
    <w:basedOn w:val="DefaultParagraphFont"/>
    <w:link w:val="Heading7"/>
    <w:uiPriority w:val="9"/>
    <w:semiHidden/>
    <w:rsid w:val="00B04398"/>
    <w:rPr>
      <w:rFonts w:asciiTheme="majorHAnsi" w:eastAsiaTheme="majorEastAsia" w:hAnsiTheme="majorHAnsi" w:cstheme="majorBidi"/>
      <w:i/>
      <w:iCs/>
      <w:color w:val="404040" w:themeColor="text1" w:themeTint="BF"/>
      <w:sz w:val="22"/>
      <w:szCs w:val="22"/>
      <w:lang w:val="fr-FR"/>
    </w:rPr>
  </w:style>
  <w:style w:type="character" w:customStyle="1" w:styleId="Heading8Char">
    <w:name w:val="Heading 8 Char"/>
    <w:basedOn w:val="DefaultParagraphFont"/>
    <w:link w:val="Heading8"/>
    <w:uiPriority w:val="9"/>
    <w:semiHidden/>
    <w:rsid w:val="00B04398"/>
    <w:rPr>
      <w:rFonts w:asciiTheme="majorHAnsi" w:eastAsiaTheme="majorEastAsia" w:hAnsiTheme="majorHAnsi" w:cstheme="majorBidi"/>
      <w:color w:val="4472C4" w:themeColor="accent1"/>
      <w:lang w:val="fr-FR"/>
    </w:rPr>
  </w:style>
  <w:style w:type="character" w:customStyle="1" w:styleId="Heading9Char">
    <w:name w:val="Heading 9 Char"/>
    <w:basedOn w:val="DefaultParagraphFont"/>
    <w:link w:val="Heading9"/>
    <w:uiPriority w:val="9"/>
    <w:semiHidden/>
    <w:rsid w:val="00B04398"/>
    <w:rPr>
      <w:rFonts w:asciiTheme="majorHAnsi" w:eastAsiaTheme="majorEastAsia" w:hAnsiTheme="majorHAnsi" w:cstheme="majorBidi"/>
      <w:i/>
      <w:iCs/>
      <w:color w:val="404040" w:themeColor="text1" w:themeTint="BF"/>
      <w:lang w:val="fr-FR"/>
    </w:rPr>
  </w:style>
  <w:style w:type="paragraph" w:styleId="Caption">
    <w:name w:val="caption"/>
    <w:basedOn w:val="Normal"/>
    <w:next w:val="Normal"/>
    <w:uiPriority w:val="35"/>
    <w:semiHidden/>
    <w:unhideWhenUsed/>
    <w:qFormat/>
    <w:rsid w:val="00B04398"/>
    <w:pPr>
      <w:bidi w:val="0"/>
      <w:spacing w:after="160" w:line="240" w:lineRule="auto"/>
    </w:pPr>
    <w:rPr>
      <w:rFonts w:asciiTheme="minorHAnsi" w:eastAsiaTheme="minorEastAsia" w:hAnsiTheme="minorHAnsi" w:cstheme="minorBidi"/>
      <w:b/>
      <w:bCs/>
      <w:color w:val="4472C4" w:themeColor="accent1"/>
      <w:sz w:val="18"/>
      <w:szCs w:val="18"/>
      <w:lang w:val="fr-FR"/>
    </w:rPr>
  </w:style>
  <w:style w:type="paragraph" w:styleId="IntenseQuote">
    <w:name w:val="Intense Quote"/>
    <w:basedOn w:val="Normal"/>
    <w:next w:val="Normal"/>
    <w:link w:val="IntenseQuoteChar"/>
    <w:uiPriority w:val="30"/>
    <w:qFormat/>
    <w:rsid w:val="00B04398"/>
    <w:pPr>
      <w:pBdr>
        <w:bottom w:val="single" w:sz="4" w:space="4" w:color="4472C4" w:themeColor="accent1"/>
      </w:pBdr>
      <w:bidi w:val="0"/>
      <w:spacing w:before="200" w:after="280" w:line="480" w:lineRule="auto"/>
      <w:ind w:left="936" w:right="936"/>
    </w:pPr>
    <w:rPr>
      <w:rFonts w:asciiTheme="minorHAnsi" w:eastAsiaTheme="minorEastAsia" w:hAnsiTheme="minorHAnsi" w:cstheme="minorBidi"/>
      <w:b/>
      <w:bCs/>
      <w:i/>
      <w:iCs/>
      <w:color w:val="4472C4" w:themeColor="accent1"/>
      <w:lang w:val="fr-FR"/>
    </w:rPr>
  </w:style>
  <w:style w:type="character" w:customStyle="1" w:styleId="IntenseQuoteChar">
    <w:name w:val="Intense Quote Char"/>
    <w:basedOn w:val="DefaultParagraphFont"/>
    <w:link w:val="IntenseQuote"/>
    <w:uiPriority w:val="30"/>
    <w:rsid w:val="00B04398"/>
    <w:rPr>
      <w:rFonts w:asciiTheme="minorHAnsi" w:eastAsiaTheme="minorEastAsia" w:hAnsiTheme="minorHAnsi" w:cstheme="minorBidi"/>
      <w:b/>
      <w:bCs/>
      <w:i/>
      <w:iCs/>
      <w:color w:val="4472C4" w:themeColor="accent1"/>
      <w:sz w:val="22"/>
      <w:szCs w:val="22"/>
      <w:lang w:val="fr-FR"/>
    </w:rPr>
  </w:style>
  <w:style w:type="character" w:styleId="SubtleEmphasis">
    <w:name w:val="Subtle Emphasis"/>
    <w:basedOn w:val="DefaultParagraphFont"/>
    <w:uiPriority w:val="19"/>
    <w:qFormat/>
    <w:rsid w:val="00B04398"/>
    <w:rPr>
      <w:i/>
      <w:iCs/>
      <w:color w:val="808080" w:themeColor="text1" w:themeTint="7F"/>
    </w:rPr>
  </w:style>
  <w:style w:type="character" w:styleId="IntenseEmphasis">
    <w:name w:val="Intense Emphasis"/>
    <w:basedOn w:val="DefaultParagraphFont"/>
    <w:uiPriority w:val="21"/>
    <w:qFormat/>
    <w:rsid w:val="00B04398"/>
    <w:rPr>
      <w:b/>
      <w:bCs/>
      <w:i/>
      <w:iCs/>
      <w:color w:val="4472C4" w:themeColor="accent1"/>
    </w:rPr>
  </w:style>
  <w:style w:type="character" w:styleId="SubtleReference">
    <w:name w:val="Subtle Reference"/>
    <w:basedOn w:val="DefaultParagraphFont"/>
    <w:uiPriority w:val="31"/>
    <w:qFormat/>
    <w:rsid w:val="00B04398"/>
    <w:rPr>
      <w:smallCaps/>
      <w:color w:val="ED7D31" w:themeColor="accent2"/>
      <w:u w:val="single"/>
    </w:rPr>
  </w:style>
  <w:style w:type="character" w:styleId="IntenseReference">
    <w:name w:val="Intense Reference"/>
    <w:basedOn w:val="DefaultParagraphFont"/>
    <w:uiPriority w:val="32"/>
    <w:qFormat/>
    <w:rsid w:val="00B04398"/>
    <w:rPr>
      <w:b/>
      <w:bCs/>
      <w:smallCaps/>
      <w:color w:val="ED7D31" w:themeColor="accent2"/>
      <w:spacing w:val="5"/>
      <w:u w:val="single"/>
    </w:rPr>
  </w:style>
  <w:style w:type="character" w:styleId="BookTitle">
    <w:name w:val="Book Title"/>
    <w:basedOn w:val="DefaultParagraphFont"/>
    <w:uiPriority w:val="33"/>
    <w:qFormat/>
    <w:rsid w:val="00B04398"/>
    <w:rPr>
      <w:b/>
      <w:bCs/>
      <w:smallCaps/>
      <w:spacing w:val="5"/>
    </w:rPr>
  </w:style>
  <w:style w:type="paragraph" w:customStyle="1" w:styleId="articletitle">
    <w:name w:val="article_title"/>
    <w:basedOn w:val="Normal"/>
    <w:rsid w:val="008E6D5B"/>
    <w:pPr>
      <w:bidi w:val="0"/>
      <w:spacing w:before="100" w:beforeAutospacing="1" w:after="100" w:afterAutospacing="1" w:line="240" w:lineRule="auto"/>
    </w:pPr>
    <w:rPr>
      <w:rFonts w:ascii="Times New Roman" w:hAnsi="Times New Roman" w:cs="Times New Roman"/>
      <w:sz w:val="24"/>
      <w:szCs w:val="24"/>
      <w:lang w:val="fr-MA" w:eastAsia="zh-CN"/>
    </w:rPr>
  </w:style>
  <w:style w:type="character" w:styleId="UnresolvedMention">
    <w:name w:val="Unresolved Mention"/>
    <w:basedOn w:val="DefaultParagraphFont"/>
    <w:uiPriority w:val="99"/>
    <w:semiHidden/>
    <w:unhideWhenUsed/>
    <w:rsid w:val="00F53BF7"/>
    <w:rPr>
      <w:color w:val="605E5C"/>
      <w:shd w:val="clear" w:color="auto" w:fill="E1DFDD"/>
    </w:rPr>
  </w:style>
  <w:style w:type="character" w:customStyle="1" w:styleId="c2">
    <w:name w:val="c2"/>
    <w:basedOn w:val="DefaultParagraphFont"/>
    <w:rsid w:val="00C37D03"/>
  </w:style>
  <w:style w:type="character" w:customStyle="1" w:styleId="c3">
    <w:name w:val="c3"/>
    <w:basedOn w:val="DefaultParagraphFont"/>
    <w:rsid w:val="00C37D03"/>
  </w:style>
  <w:style w:type="character" w:customStyle="1" w:styleId="vkekvd">
    <w:name w:val="vkekvd"/>
    <w:basedOn w:val="DefaultParagraphFont"/>
    <w:rsid w:val="00C37D03"/>
  </w:style>
  <w:style w:type="character" w:customStyle="1" w:styleId="t286pc">
    <w:name w:val="t286pc"/>
    <w:basedOn w:val="DefaultParagraphFont"/>
    <w:rsid w:val="00C37D03"/>
  </w:style>
  <w:style w:type="character" w:customStyle="1" w:styleId="a5">
    <w:name w:val="محارف الحواشي"/>
    <w:qFormat/>
    <w:rsid w:val="00F3356E"/>
    <w:rPr>
      <w:vertAlign w:val="superscript"/>
    </w:rPr>
  </w:style>
  <w:style w:type="paragraph" w:styleId="Revision">
    <w:name w:val="Revision"/>
    <w:hidden/>
    <w:uiPriority w:val="99"/>
    <w:semiHidden/>
    <w:rsid w:val="00F3356E"/>
    <w:rPr>
      <w:rFonts w:asciiTheme="minorHAnsi" w:eastAsiaTheme="minorHAnsi" w:hAnsiTheme="minorHAnsi" w:cstheme="minorBidi"/>
      <w:sz w:val="22"/>
      <w:szCs w:val="22"/>
      <w:lang w:val="fr-FR"/>
    </w:rPr>
  </w:style>
  <w:style w:type="character" w:customStyle="1" w:styleId="citation-147">
    <w:name w:val="citation-147"/>
    <w:basedOn w:val="DefaultParagraphFont"/>
    <w:rsid w:val="00D67EDA"/>
  </w:style>
  <w:style w:type="character" w:customStyle="1" w:styleId="citation-146">
    <w:name w:val="citation-146"/>
    <w:basedOn w:val="DefaultParagraphFont"/>
    <w:rsid w:val="00D67EDA"/>
  </w:style>
  <w:style w:type="character" w:customStyle="1" w:styleId="citation-354">
    <w:name w:val="citation-354"/>
    <w:basedOn w:val="DefaultParagraphFont"/>
    <w:rsid w:val="00D67EDA"/>
  </w:style>
  <w:style w:type="character" w:customStyle="1" w:styleId="citation-353">
    <w:name w:val="citation-353"/>
    <w:basedOn w:val="DefaultParagraphFont"/>
    <w:rsid w:val="00D67EDA"/>
  </w:style>
  <w:style w:type="character" w:customStyle="1" w:styleId="citation-352">
    <w:name w:val="citation-352"/>
    <w:basedOn w:val="DefaultParagraphFont"/>
    <w:rsid w:val="00D67EDA"/>
  </w:style>
  <w:style w:type="character" w:customStyle="1" w:styleId="citation-351">
    <w:name w:val="citation-351"/>
    <w:basedOn w:val="DefaultParagraphFont"/>
    <w:rsid w:val="00D67EDA"/>
  </w:style>
  <w:style w:type="character" w:customStyle="1" w:styleId="citation-350">
    <w:name w:val="citation-350"/>
    <w:basedOn w:val="DefaultParagraphFont"/>
    <w:rsid w:val="00D67EDA"/>
  </w:style>
  <w:style w:type="character" w:customStyle="1" w:styleId="citation-349">
    <w:name w:val="citation-349"/>
    <w:basedOn w:val="DefaultParagraphFont"/>
    <w:rsid w:val="00D67EDA"/>
  </w:style>
  <w:style w:type="character" w:customStyle="1" w:styleId="citation-348">
    <w:name w:val="citation-348"/>
    <w:basedOn w:val="DefaultParagraphFont"/>
    <w:rsid w:val="00D67EDA"/>
  </w:style>
  <w:style w:type="character" w:customStyle="1" w:styleId="citation-347">
    <w:name w:val="citation-347"/>
    <w:basedOn w:val="DefaultParagraphFont"/>
    <w:rsid w:val="00D67EDA"/>
  </w:style>
  <w:style w:type="character" w:customStyle="1" w:styleId="citation-346">
    <w:name w:val="citation-346"/>
    <w:basedOn w:val="DefaultParagraphFont"/>
    <w:rsid w:val="00D67EDA"/>
  </w:style>
  <w:style w:type="character" w:customStyle="1" w:styleId="citation-345">
    <w:name w:val="citation-345"/>
    <w:basedOn w:val="DefaultParagraphFont"/>
    <w:rsid w:val="00D67EDA"/>
  </w:style>
  <w:style w:type="character" w:customStyle="1" w:styleId="citation-344">
    <w:name w:val="citation-344"/>
    <w:basedOn w:val="DefaultParagraphFont"/>
    <w:rsid w:val="00D67EDA"/>
  </w:style>
  <w:style w:type="character" w:customStyle="1" w:styleId="citation-343">
    <w:name w:val="citation-343"/>
    <w:basedOn w:val="DefaultParagraphFont"/>
    <w:rsid w:val="00D67EDA"/>
  </w:style>
  <w:style w:type="character" w:customStyle="1" w:styleId="citation-342">
    <w:name w:val="citation-342"/>
    <w:basedOn w:val="DefaultParagraphFont"/>
    <w:rsid w:val="00D67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4190">
      <w:bodyDiv w:val="1"/>
      <w:marLeft w:val="0"/>
      <w:marRight w:val="0"/>
      <w:marTop w:val="0"/>
      <w:marBottom w:val="0"/>
      <w:divBdr>
        <w:top w:val="none" w:sz="0" w:space="0" w:color="auto"/>
        <w:left w:val="none" w:sz="0" w:space="0" w:color="auto"/>
        <w:bottom w:val="none" w:sz="0" w:space="0" w:color="auto"/>
        <w:right w:val="none" w:sz="0" w:space="0" w:color="auto"/>
      </w:divBdr>
    </w:div>
    <w:div w:id="568686791">
      <w:bodyDiv w:val="1"/>
      <w:marLeft w:val="0"/>
      <w:marRight w:val="0"/>
      <w:marTop w:val="0"/>
      <w:marBottom w:val="0"/>
      <w:divBdr>
        <w:top w:val="none" w:sz="0" w:space="0" w:color="auto"/>
        <w:left w:val="none" w:sz="0" w:space="0" w:color="auto"/>
        <w:bottom w:val="none" w:sz="0" w:space="0" w:color="auto"/>
        <w:right w:val="none" w:sz="0" w:space="0" w:color="auto"/>
      </w:divBdr>
    </w:div>
    <w:div w:id="976185959">
      <w:bodyDiv w:val="1"/>
      <w:marLeft w:val="0"/>
      <w:marRight w:val="0"/>
      <w:marTop w:val="0"/>
      <w:marBottom w:val="0"/>
      <w:divBdr>
        <w:top w:val="none" w:sz="0" w:space="0" w:color="auto"/>
        <w:left w:val="none" w:sz="0" w:space="0" w:color="auto"/>
        <w:bottom w:val="none" w:sz="0" w:space="0" w:color="auto"/>
        <w:right w:val="none" w:sz="0" w:space="0" w:color="auto"/>
      </w:divBdr>
    </w:div>
    <w:div w:id="1863981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8/ilic10.3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anamhairat@yahoo.com" TargetMode="External"/><Relationship Id="rId4" Type="http://schemas.openxmlformats.org/officeDocument/2006/relationships/settings" Target="settings.xml"/><Relationship Id="rId9" Type="http://schemas.openxmlformats.org/officeDocument/2006/relationships/hyperlink" Target="https://doi.org/10.23918/ilic10.33"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EA435-EDB0-4967-9553-7810C63FC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7</Pages>
  <Words>4040</Words>
  <Characters>23031</Characters>
  <Application>Microsoft Office Word</Application>
  <DocSecurity>0</DocSecurity>
  <Lines>191</Lines>
  <Paragraphs>54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By DR.Ahmed Saker 2o1O  ;)</Company>
  <LinksUpToDate>false</LinksUpToDate>
  <CharactersWithSpaces>27017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moon</dc:creator>
  <cp:keywords/>
  <cp:lastModifiedBy>Fadhl Ismael</cp:lastModifiedBy>
  <cp:revision>121</cp:revision>
  <cp:lastPrinted>2026-03-25T18:40:00Z</cp:lastPrinted>
  <dcterms:created xsi:type="dcterms:W3CDTF">2022-11-19T07:15:00Z</dcterms:created>
  <dcterms:modified xsi:type="dcterms:W3CDTF">2026-04-03T12:37:00Z</dcterms:modified>
</cp:coreProperties>
</file>